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16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spacing w:after="0"/>
        <w:jc w:val="left"/>
      </w:pPr>
      <w:r>
        <w:rPr>
          <w:rFonts w:ascii="Times New Roman"/>
          <w:sz w:val="28"/>
        </w:rPr>
        <w:t>Student name:__________</w:t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an element of an assurance engagement?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Three-party relationship.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Approved assurance standards.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Sufficient appropriate evidence.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written assurance report.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Who is the responsible party for the adequacy of the disclosure in the financial report and accompanying notes?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Auditor in charge of fieldwork.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entity's board of directors.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Auditor who signs the auditor's report.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Securities and Investments Commission.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At what levels can assurance be provided under the assurance services framework?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Reasonable assurance and limited assurance.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High assurance and reasonable assurance.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can be provided on a continuum from 0% to 100%.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can be provided on a continuum from absolute to limited.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Independent auditors are referred to as "independent" because: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their offices are not at the entity's place of business.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are not employees of the entity being audited.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are paid by parties outside of the audited entity.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report to users outside of the audited entity.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highest level of assurance is provided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compiling financial reports.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agreed-upon procedures.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review.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can be the underlying subject matter of the audit?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financial report of a company.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accounting standards.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auditing standards.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auditor's report.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audit establishes the conformity of assertions with suitable criteria. In an audit of a financial report, the criteria by which financial report assertions are judged are: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ethical rules of conduct.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Auditing Standards.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listing rules of the Australian Securities and Investments Commission.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applicable accounting standards.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assurance engagement involves a three-party relationship. Which of the following is one of those three parties for an audit of financial statements undertaken in Australia?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Accounting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Auditing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Securities and Investments Commission.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Board of Directors.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To which assurance engagements does the Framework for Assurance Engagements apply?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Audits of historical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Reviews of historical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engagements other than audits or reviews of historical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of the given answers are correct.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What is a direct engagement?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assurance provider is directly appointed by the responsible party.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assurance engagement contains both financial report and performance engagement elements.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Shareholders directly appoint the auditor, rather than the company.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auditor directly measures or evaluates the underlying subject matter against the criteria.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auditor's judgment concerning the overall fairness of the presentation of financial position, results of operations and cash flows is applied within the framework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auditing standards that include the concept of materiality.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quality control.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agreed reporting framework.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auditor's assessment of the audited entity's level of control risk.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To which type of assurance engagement does the umbrella standard ASAE 3000 (ISAE 3000) Assurance Engagements other than Audits and Reviews of Historical Financial Information not apply?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performance engagement on a government department.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review of a half-yearly financial report.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limited assurance report on the effectiveness of internal control.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limited assurance engagement on prospective financial information.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Independent auditors perform audits on the financial reports of public companies. This type of auditing can best be described as: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professional activity that measures and communicates financial and business data.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activity whose purpose is to search for irregularities.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regulatory function that prevents the issuance of improper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discipline that assures financial information presented by management.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audit of the financial report of Smith Ltd, an Australian listed company, is being conducted by an external auditor. The external auditor is expected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express an opinion as to the attractiveness of Smith for investment purposes.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express an opinion as to whether the financial report is prepared in accordance with an applicable financial reporting framework.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undertake a 100% examination of Smith's records.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certify the correctness of Smith's financial report.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essence of a financial report audit is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examine individual transactions so that the auditor may certify as to their validity.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detect fraud.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assure the consistent application of correct accounting procedures.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determine whether the client's financial reports are fairly stated.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independent auditor adds credibility to the client's financial report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testifying under oath about client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attaching an auditor's opinion to the client's financial report.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maintaining a clear-cut distinction between management's representations and the auditor's representations.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stating in the auditor's communication of internal control related matters that the audit was made in accordance with Australian auditing standards.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report auditing can best be described as: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regulatory function that prevents the issuance of improper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professional activity that measures and communicates financial and business data.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discipline that attests to the results of accounting and other functional operations and data.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branch of accounting.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one of the important aspects of an audit?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Knowledge.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Communication.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Evidence.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Client satisfaction.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statements is not true concerning assurance services?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services focus on improving the quality of information, or its context, for decision makers.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growth in assurance services has been driven in part by users' demands for more relevant and reliable information.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Auditing services can be viewed as a subset of assurance services.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Unlike audit engagements, an engagement to perform assurance services does not require the auditor to consider information reliability.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an attribute of an external auditor?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Client advocacy.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Integrity.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Professional competence with regards to underlying subject matter.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Objectivity.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undertaking a financial statement audit the external auditor has a responsibility to?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Form an opinion on the subject matter.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Form an opinion on the directors' assessment of going concern.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Obtain and evaluate evidence.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of the given answers are correct.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true of the relationship between audit and assurance engagements?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engagements are a subset of audit engagements.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 engagements are a subset of assurance engagements.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Assurance engagements are the same thing as audit engagements.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There is no relationship between assurance engagements and audit engagements.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an important part of a financial statement audit?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Maintaining objectivity.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Assessing economy.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Obtaining and evaluating evidence.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Maintaining confidentiality.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primary responsibility for the adequacy of disclosures in the financial report of a publicly held company rests with: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those charged with the governance of the company.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partner assigned to the audit engagement.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Securities and Investments Commission.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auditor in charge of the fieldwork.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accuracy of information included in notes that accompany the audited financial report of a company whose shares are traded on a stock exchange is the primary responsibility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independent auditor.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stock exchange officials.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Australian Securities and Investments Commission.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those charged with the governance of the company.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value of an assurance service lies in its ability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improve information's relevance and faithful representation.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report on the assurance process.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improve the consistency of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provide a professional service that is valued by the responsible party.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the context of agency theory, information asymmetry refers to the idea that: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information can vary in its comparability.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information can vary in its relevance.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management has more information about the entity's true financial position than do the absentee owners.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management will act in the best interests of the absentee owners.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public has turned to auditors to provide assurance services primarily because: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there is a need to develop new revenue streams for accounting firms.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integrity and objectivity of auditors increases the public's trust that the underlying information is not materially misstated.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auditors have been proactive in identifying new types of assurance services to market to customers.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audits do not provide reliable information for decision makers.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best describes why an independent auditor is asked to express an opinion on the true and fair presentation of a financial report?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It is management's responsibility to seek available independent aid in the appraisal of the financial information shown in its financial report.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It is difficult to prepare a financial report that fairly presents a company's financial position and changes in cash flows without the expertise of an independent auditor.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It is a customary courtesy that all shareholders of a company receive an independent report on management's stewardship in managing the affairs of the business.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opinion of an independent party is needed because a company may not be objective with respect to its own financial report.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considered to be an enhancing characteristic of financial information that has been audited?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Comparability.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Existence.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Occurrence.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Periodicity.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best describes the reason why an independent auditor reports on financial statements?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management fraud may exist and it is more likely to be detected by independent auditors.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Different interests may exist between the company preparing the statements and the parties using the statements.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misstatement of account balances may exist and is generally corrected as the result of the independent auditor's work.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poorly designed internal control system may be in place.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are potential additional benefits arising from a financial statement audit?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I. Recommendations to improve the efficiency of operations.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II. A positive influence on the behaviour of people whose activities are being assured.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III. Recommendations to improve the effectiveness of operations.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 and III.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an auditor expresses an opinion on the financial report, the auditor's responsibilities extend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ongoing responsibility for the entity's solvency in accordance with the requirements of the Corporations Act 2001.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underlying wisdom of management's decisions.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active participation in the implementation of advice given.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whether the entity's results are fairly presented in the financial report in accordance with approved accounting standards.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It is very hard for auditors to remain independent of their clients, given that they are paid by their clients. Which of the following mechanisms can help auditors to maintain their independence?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I. Ethical rules.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II. Approved auditing standards.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III. Audit committees.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 and III.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insurance hypothesis explaining the demand for audit means: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auditors can be sued when things go wrong to reclaim losses.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auditors have a responsibility to report when management does not have appropriate insurance.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auditors have a responsibility to report when owners do not have appropriate insurance.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auditor assures that management are acting in the best interests of the absentee owners.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difference between what the public think auditors do and what auditors actually do is called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knowledge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performance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evolution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communications gap.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Where auditors do not do what auditing standards or regulations require is called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knowledge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performance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evolution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communications gap.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Where the audit process could be enhanced to add more value is part of addressing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knowledge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performance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evolution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communications gap.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What has been a major recent initiative by the IAASB to reduce the expectations gap?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statutory limitation on auditor's liability.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confidential report to those charged with governance.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separate report to the independent audit regulatory.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Amendments to the Auditor's Report.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which area is there a gap between society's expectations of auditors and the perceived performance of auditors?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Compliance with laws and regulations.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detection and reporting of earnings management and fraud.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Fair presentation of the financial report.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of the given answers are correct.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Below are a number of potential areas where a gap has been identified between society's expectations of auditors and the perceived performance of auditors. Which combination of these has been identified as an expectations gap?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I. Compliance with laws and regulations.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II. Detection and reporting of earnings management and fraud.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III. Ability to communicate different levels of assurance in the auditor's report.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 and III.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expectations gap, as defined by Porter, is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gap between society's expectations of auditors and auditors' performance, as perceived by the auditor.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gap between society's expectations of auditors and auditors' performance, as perceived by society.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gap between the auditing standards and what auditors do.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gap between what users desire and understand and what is communicated by the auditor.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Auditors' underuse of data analytics on an audit is part of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knowledge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performance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evolution gap.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communications gap.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Who establishes Australian auditing standards?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Auditing and Assurance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Accounting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Securities and Investments Commission.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professional bodies together (CPA Australia, Chartered Accountants Australia and New Zealand and the Institute of Public Accountants).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Who is responsible for developing and approving international auditing and assurance standards?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International Auditing and Assurance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Australian Auditing and Assurance Standards Board.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International Forum for Independent Audit Regulators.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International Accounting Standards Board.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Assurance services include which of the following?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Working with a client to develop a more efficient method of processing financial transactions.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Preparing a report representing a client's position during a tax audit.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Assisting a client in identifying potential sources of capital for acquisitions.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Providing an opinion concerning the completeness and accuracy of statements made on a client's website.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statements is true about guidance statements approved and issued by the AUASB?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establish new principles but do not amend existing standards for specific industries.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amend existing standards but do not establish new principles for specific industries.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establish new principles and amend existing standards for specific industries.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They do not establish new principles or amend existing standards.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For which types of assurance engagements do the standards have legal backing?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Audits and reviews of financial reports prepared under Part 2M.3 of the Corporations Act 2001.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Audits only of financial reports prepared under Part 2M.3 of the Corporations Act 2001.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audit and assurance engagements undertaken by a registered company auditor.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audits and reviews of financial reports undertaken by a registered company auditor.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Under the Corporations Act 2001, if a company's financial report, when prepared in accordance with accounting standards, would not otherwise give a true and fair view: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auditors are required to add such information and explanations in the financial report so as to give a true and fair view.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directors are required to add such information and explanations in the financial report so as to give a true and fair view.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directors should refer to this situation in their directors' declaration.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no additional information should be added to the financial report.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Approved auditing standards prescribe: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basic principles of the audit, with the essential procedures and guidance contained in Guidance statements.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basic principles and general guidance, with essential procedures contained in Guidance statements.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basic principles and essential procedures of the audit with general guidance contained in Guidance statements.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basic principles and essential procedures of the audit together with related general guidance with guidance on procedural matters or on entity- or industry-specific issues contained in Guidance statements.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types of underlying subject matter is not an engagement that will be undertaken under ISAE 3000?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Historical financial information.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Sustainability report.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Report on internal controls.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Report on greenhouse gas emissions.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Forensic audits include all of the following except: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manufacturers' claims about product quality.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criminal investigations.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matrimonial disputes.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employee fraud.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Governmental auditing often extends beyond examinations leading to the expression of an opinion on the fairness of financial presentation and includes audits of economy, efficiency and: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evaluation.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effectiveness.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compliance.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accuracy.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What is the general character of the work conducted in performing a forensic audit?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Detecting or deterring fraudulent activity.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Providing assurance that the financial report is not materially misstated.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Identifying the causes of an entity's financial difficulties.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Offering an opinion on the reliability of the specific assertions made by management.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combination of audits can be collectively integrated and described as a comprehensive audit?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I. Compliance engagement.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II. Financial report audit.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III. Internal audit.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IV. Performance engagement.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 and III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 and IV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I, III and IV only.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II, III and IV only.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b/>
          <w:sz w:val="36"/>
        </w:rPr>
        <w:br w:type="page"/>
        <w:t>Answer Key</w:t>
        <w:br/>
      </w:r>
      <w:r>
        <w:rPr>
          <w:rFonts w:ascii="Times New Roman"/>
          <w:sz w:val="32"/>
        </w:rPr>
        <w:t>Test name: Gay8eCh001</w:t>
        <w:br/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">
    <w:nsid w:val="1ac290bf"/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abstractNum w:abstractNumId="1">
    <w:nsid w:val="8af2fbe"/>
    <w:multiLevelType w:val="hybridMultilevel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3">
    <w:nsid w:val="3eddd45"/>
    <w:multiLevelType w:val="hybridMultilevel"/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</w:abstractNum>
  <w:num w:numId="2">
    <w:abstractNumId w:val="2"/>
  </w:num>
  <w:num w:numId="3">
    <w:abstractNumId w:val="3"/>
  </w: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