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89C73" w14:textId="77777777" w:rsidR="004C18C0" w:rsidRPr="00CE2197" w:rsidRDefault="004C18C0" w:rsidP="00CB30DD">
      <w:pPr>
        <w:pStyle w:val="Heading1"/>
      </w:pPr>
      <w:bookmarkStart w:id="0" w:name="_GoBack"/>
      <w:bookmarkEnd w:id="0"/>
      <w:r w:rsidRPr="00CB30DD">
        <w:t>Chapter</w:t>
      </w:r>
      <w:r w:rsidRPr="00CE2197">
        <w:t xml:space="preserve"> 1</w:t>
      </w:r>
    </w:p>
    <w:p w14:paraId="3346CF41" w14:textId="77777777" w:rsidR="004C18C0" w:rsidRPr="00CE2197" w:rsidRDefault="004C18C0" w:rsidP="00905FF1">
      <w:pPr>
        <w:pStyle w:val="Heading1"/>
        <w:pBdr>
          <w:bottom w:val="single" w:sz="4" w:space="1" w:color="auto"/>
        </w:pBdr>
        <w:spacing w:after="240" w:line="480" w:lineRule="auto"/>
      </w:pPr>
      <w:r w:rsidRPr="00CE2197">
        <w:t>A Brief History of Risk and Return</w:t>
      </w:r>
    </w:p>
    <w:p w14:paraId="1229DEC8" w14:textId="77777777" w:rsidR="00E21AB2" w:rsidRDefault="004C18C0" w:rsidP="00B07973">
      <w:pPr>
        <w:pStyle w:val="Heading2"/>
      </w:pPr>
      <w:r w:rsidRPr="00B07973">
        <w:t>Concept</w:t>
      </w:r>
      <w:r w:rsidRPr="00CE2197">
        <w:t xml:space="preserve"> Questions</w:t>
      </w:r>
    </w:p>
    <w:p w14:paraId="2AE5CCBC" w14:textId="4D74BAAA" w:rsidR="004C18C0" w:rsidRPr="00CE2197" w:rsidRDefault="004C18C0" w:rsidP="00F809B9">
      <w:pPr>
        <w:pStyle w:val="ListParagraph"/>
        <w:numPr>
          <w:ilvl w:val="0"/>
          <w:numId w:val="3"/>
        </w:numPr>
        <w:spacing w:before="240"/>
        <w:ind w:left="446" w:hanging="446"/>
      </w:pPr>
      <w:r w:rsidRPr="00CE2197">
        <w:t xml:space="preserve">For both risk and return, increasing order is </w:t>
      </w:r>
      <w:r w:rsidRPr="00CE2197">
        <w:rPr>
          <w:i/>
        </w:rPr>
        <w:t>b, c, a, d</w:t>
      </w:r>
      <w:r w:rsidRPr="00CE2197">
        <w:t>. On average, the higher the risk of an investment, the higher is its expected return.</w:t>
      </w:r>
    </w:p>
    <w:p w14:paraId="1676D1F7" w14:textId="50EF6D88" w:rsidR="004C18C0" w:rsidRPr="00CE2197" w:rsidRDefault="004C18C0" w:rsidP="00804720">
      <w:pPr>
        <w:pStyle w:val="ListParagraph"/>
        <w:numPr>
          <w:ilvl w:val="0"/>
          <w:numId w:val="3"/>
        </w:numPr>
        <w:spacing w:before="240"/>
        <w:ind w:left="446" w:hanging="446"/>
      </w:pPr>
      <w:r w:rsidRPr="00CE2197">
        <w:t>Since the price didn’t change, the capital gains yield was zero.</w:t>
      </w:r>
      <w:r w:rsidR="00E21AB2">
        <w:t xml:space="preserve"> </w:t>
      </w:r>
      <w:r w:rsidRPr="00CE2197">
        <w:t>If the total return was four percent, then the dividend yield must be four percent.</w:t>
      </w:r>
    </w:p>
    <w:p w14:paraId="2716603D" w14:textId="7BA5C1A9" w:rsidR="004C18C0" w:rsidRPr="00CE2197" w:rsidRDefault="004C18C0" w:rsidP="00502FF3">
      <w:pPr>
        <w:pStyle w:val="ListParagraph"/>
        <w:numPr>
          <w:ilvl w:val="0"/>
          <w:numId w:val="3"/>
        </w:numPr>
        <w:spacing w:before="240"/>
        <w:ind w:left="446" w:hanging="446"/>
      </w:pPr>
      <w:r w:rsidRPr="00CE2197">
        <w:t>It is impossible to lose more than –100 percent of your investment. Therefore, return distributions are cut off on the lower tail at –100 percent; if returns were truly normally distributed, you could lose much more.</w:t>
      </w:r>
    </w:p>
    <w:p w14:paraId="09974A0A" w14:textId="210373F9" w:rsidR="004C18C0" w:rsidRPr="00CE2197" w:rsidRDefault="004C18C0" w:rsidP="00502FF3">
      <w:pPr>
        <w:pStyle w:val="ListParagraph"/>
        <w:numPr>
          <w:ilvl w:val="0"/>
          <w:numId w:val="3"/>
        </w:numPr>
        <w:spacing w:before="240"/>
        <w:ind w:left="446" w:hanging="446"/>
      </w:pPr>
      <w:r w:rsidRPr="00CE2197">
        <w:t>To calculate an arithmetic return, you sum the returns and divide by the number of returns. As such, arithmetic returns do not account for the effects of compounding</w:t>
      </w:r>
      <w:r w:rsidR="008D1CCC">
        <w:t xml:space="preserve"> (and, in particular, the effect of volatility)</w:t>
      </w:r>
      <w:r w:rsidRPr="00CE2197">
        <w:t>. Geometric returns do account for the effects of compoundin</w:t>
      </w:r>
      <w:r w:rsidR="00BD5B30">
        <w:t>g and for changes in the base used for each year’s calculation of returns</w:t>
      </w:r>
      <w:r w:rsidRPr="00CE2197">
        <w:t>. As an investor, the more important return of an asset is the geometric return.</w:t>
      </w:r>
    </w:p>
    <w:p w14:paraId="1E5B22F4" w14:textId="77777777" w:rsidR="00E21AB2" w:rsidRDefault="004C18C0" w:rsidP="00502FF3">
      <w:pPr>
        <w:pStyle w:val="ListParagraph"/>
        <w:numPr>
          <w:ilvl w:val="0"/>
          <w:numId w:val="3"/>
        </w:numPr>
        <w:spacing w:before="240"/>
        <w:ind w:left="446" w:hanging="446"/>
      </w:pPr>
      <w:r>
        <w:t>Blume’s formula uses the arithmetic and geometric returns along with the number of observations to approximate a holding period return. When predicting a holding period return, the arithmetic return will tend to be too high and the geometric return will tend to be too low. Blume’s formula adjusts these returns for different holding period expected returns.</w:t>
      </w:r>
    </w:p>
    <w:p w14:paraId="71B65E5D" w14:textId="6B545C05" w:rsidR="004C18C0" w:rsidRPr="00CE2197" w:rsidRDefault="004C18C0" w:rsidP="00502FF3">
      <w:pPr>
        <w:pStyle w:val="ListParagraph"/>
        <w:numPr>
          <w:ilvl w:val="0"/>
          <w:numId w:val="3"/>
        </w:numPr>
        <w:spacing w:before="240"/>
        <w:ind w:left="446" w:hanging="446"/>
      </w:pPr>
      <w:r w:rsidRPr="00CE2197">
        <w:t xml:space="preserve">T-bill rates were highest in the early eighties since inflation at the time was relatively high. As we discuss in our chapter on interest rates, rates on T-bills will almost always be slightly higher than the </w:t>
      </w:r>
      <w:r w:rsidR="00BD5B30">
        <w:t xml:space="preserve">expected </w:t>
      </w:r>
      <w:r w:rsidRPr="00CE2197">
        <w:t>rate of inflation.</w:t>
      </w:r>
    </w:p>
    <w:p w14:paraId="7DC6E236" w14:textId="39BB0FB7" w:rsidR="004C18C0" w:rsidRPr="00CE2197" w:rsidRDefault="004C18C0" w:rsidP="00502FF3">
      <w:pPr>
        <w:pStyle w:val="ListParagraph"/>
        <w:numPr>
          <w:ilvl w:val="0"/>
          <w:numId w:val="3"/>
        </w:numPr>
        <w:spacing w:before="240"/>
        <w:ind w:left="446" w:hanging="446"/>
      </w:pPr>
      <w:r w:rsidRPr="00CE2197">
        <w:t xml:space="preserve">Risk premiums are about the same </w:t>
      </w:r>
      <w:r w:rsidR="00C241D2">
        <w:t xml:space="preserve">regardless of </w:t>
      </w:r>
      <w:r w:rsidRPr="00CE2197">
        <w:t>whether we account for inflation. The reason is that risk premiums are the difference between two returns, so inflation essentially nets out.</w:t>
      </w:r>
    </w:p>
    <w:p w14:paraId="48B1067B" w14:textId="5856A636" w:rsidR="004C18C0" w:rsidRPr="00CE2197" w:rsidRDefault="004C18C0" w:rsidP="00502FF3">
      <w:pPr>
        <w:pStyle w:val="ListParagraph"/>
        <w:numPr>
          <w:ilvl w:val="0"/>
          <w:numId w:val="3"/>
        </w:numPr>
        <w:spacing w:before="240"/>
        <w:ind w:left="446" w:hanging="446"/>
      </w:pPr>
      <w:r w:rsidRPr="00CE2197">
        <w:t xml:space="preserve">Returns, risk premiums, and volatility would all be lower than we estimated because </w:t>
      </w:r>
      <w:proofErr w:type="spellStart"/>
      <w:r w:rsidRPr="00CE2197">
        <w:t>aftertax</w:t>
      </w:r>
      <w:proofErr w:type="spellEnd"/>
      <w:r w:rsidRPr="00CE2197">
        <w:t xml:space="preserve"> returns are smaller than pretax returns.</w:t>
      </w:r>
    </w:p>
    <w:p w14:paraId="5B03C88C" w14:textId="0F335171" w:rsidR="004C18C0" w:rsidRPr="00CE2197" w:rsidRDefault="004C18C0" w:rsidP="00502FF3">
      <w:pPr>
        <w:pStyle w:val="ListParagraph"/>
        <w:numPr>
          <w:ilvl w:val="0"/>
          <w:numId w:val="3"/>
        </w:numPr>
        <w:spacing w:before="240"/>
        <w:ind w:left="446" w:hanging="446"/>
      </w:pPr>
      <w:r w:rsidRPr="00CE2197">
        <w:t>We have seen that T-bills barely kept up with inflation before taxes. After taxes, investors in T-bills actually lost ground (assuming anything other than a very low tax rate). Thus, an all T-bill strategy will probably lose money in real dollars for a taxable investor.</w:t>
      </w:r>
    </w:p>
    <w:p w14:paraId="18B39A68" w14:textId="150E8DF4" w:rsidR="00502FF3" w:rsidRPr="00163801" w:rsidRDefault="004C18C0" w:rsidP="004C18C0">
      <w:pPr>
        <w:pStyle w:val="ListParagraph"/>
        <w:numPr>
          <w:ilvl w:val="0"/>
          <w:numId w:val="3"/>
        </w:numPr>
        <w:spacing w:before="240"/>
        <w:ind w:left="446" w:hanging="446"/>
      </w:pPr>
      <w:r w:rsidRPr="00CE2197">
        <w:t>It is important not to lose sight of the fact that the result</w:t>
      </w:r>
      <w:r>
        <w:t>s we have discussed cover over 8</w:t>
      </w:r>
      <w:r w:rsidRPr="00CE2197">
        <w:t>0 years, well beyond the investing lifetime for most of us. There have been extended periods during which small stocks have done terribly. Thus, one reason most investors will choose not to pursue a 100 percent stock (particularly small-cap stocks) strategy is that many investors have relatively short horizons, and high volatility investments may be very inappropriate in such cases. There are other reasons, but we will defer discussion of these to later chapters.</w:t>
      </w:r>
      <w:r w:rsidRPr="00163801">
        <w:rPr>
          <w:i/>
          <w:u w:val="single"/>
        </w:rPr>
        <w:br w:type="page"/>
      </w:r>
    </w:p>
    <w:p w14:paraId="1DB44819" w14:textId="3D3757BB" w:rsidR="004C18C0" w:rsidRPr="00990C15" w:rsidRDefault="004C18C0" w:rsidP="00990C15">
      <w:pPr>
        <w:pStyle w:val="Heading2"/>
        <w:rPr>
          <w:b/>
          <w:i w:val="0"/>
          <w:u w:val="none"/>
        </w:rPr>
      </w:pPr>
      <w:r w:rsidRPr="00990C15">
        <w:rPr>
          <w:b/>
          <w:i w:val="0"/>
          <w:u w:val="none"/>
        </w:rPr>
        <w:lastRenderedPageBreak/>
        <w:t>Solutions to Questions and Problems</w:t>
      </w:r>
    </w:p>
    <w:p w14:paraId="04FE4EA7" w14:textId="77777777" w:rsidR="004C18C0" w:rsidRPr="00FC6237" w:rsidRDefault="004C18C0" w:rsidP="003C0BCA">
      <w:pPr>
        <w:spacing w:before="240"/>
        <w:rPr>
          <w:i/>
        </w:rPr>
      </w:pPr>
      <w:r>
        <w:rPr>
          <w:i/>
        </w:rPr>
        <w:t>NOTE: All end of 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14:paraId="6BDE2D0E" w14:textId="77777777" w:rsidR="004C18C0" w:rsidRPr="00CE2197" w:rsidRDefault="004C18C0" w:rsidP="00FA34AF">
      <w:pPr>
        <w:pStyle w:val="Heading2"/>
      </w:pPr>
      <w:r w:rsidRPr="00CE2197">
        <w:t>Core Questions</w:t>
      </w:r>
    </w:p>
    <w:p w14:paraId="76341263" w14:textId="33C7941D" w:rsidR="004C18C0" w:rsidRDefault="004C18C0" w:rsidP="00E92D2E">
      <w:pPr>
        <w:pStyle w:val="ListParagraph"/>
        <w:numPr>
          <w:ilvl w:val="0"/>
          <w:numId w:val="5"/>
        </w:numPr>
        <w:spacing w:before="240"/>
        <w:ind w:left="446" w:hanging="446"/>
      </w:pPr>
      <w:r w:rsidRPr="00CE2197">
        <w:t xml:space="preserve">Total dollar return = </w:t>
      </w:r>
      <w:r>
        <w:t xml:space="preserve">100($41 – </w:t>
      </w:r>
      <w:r w:rsidR="00B2425A">
        <w:t>$</w:t>
      </w:r>
      <w:r>
        <w:t xml:space="preserve">37 + </w:t>
      </w:r>
      <w:r w:rsidR="00B2425A">
        <w:t>$</w:t>
      </w:r>
      <w:r>
        <w:t>.28) = $428.00</w:t>
      </w:r>
    </w:p>
    <w:p w14:paraId="46B25381" w14:textId="6ABEAA69" w:rsidR="004C18C0" w:rsidRPr="00CE2197" w:rsidRDefault="004C18C0" w:rsidP="00444BDB">
      <w:pPr>
        <w:tabs>
          <w:tab w:val="left" w:pos="440"/>
        </w:tabs>
        <w:ind w:left="446"/>
        <w:rPr>
          <w:szCs w:val="22"/>
        </w:rPr>
      </w:pPr>
      <w:r w:rsidRPr="00CE2197">
        <w:rPr>
          <w:szCs w:val="22"/>
        </w:rPr>
        <w:t>Whether you choose to sell the stock does not affec</w:t>
      </w:r>
      <w:r w:rsidR="00CE7C96">
        <w:rPr>
          <w:szCs w:val="22"/>
        </w:rPr>
        <w:t>t the gain or loss for the year;</w:t>
      </w:r>
      <w:r w:rsidRPr="00CE2197">
        <w:rPr>
          <w:szCs w:val="22"/>
        </w:rPr>
        <w:t xml:space="preserve"> your stock is worth what it would bring if you sold it. Whether you choose to do so or not is irrelevant (ignoring commissions and taxes).</w:t>
      </w:r>
    </w:p>
    <w:p w14:paraId="5380A5DB" w14:textId="0CC908FB" w:rsidR="004C18C0" w:rsidRPr="00CE2197" w:rsidRDefault="0018003E" w:rsidP="00E92D2E">
      <w:pPr>
        <w:pStyle w:val="ListParagraph"/>
        <w:numPr>
          <w:ilvl w:val="0"/>
          <w:numId w:val="5"/>
        </w:numPr>
        <w:spacing w:before="240"/>
        <w:ind w:left="446" w:hanging="446"/>
      </w:pPr>
      <w:r w:rsidRPr="009409D1">
        <w:rPr>
          <w:position w:val="-12"/>
        </w:rPr>
        <w:object w:dxaOrig="5640" w:dyaOrig="360" w14:anchorId="362B3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pital gains yield equals left parenthesis 41 dollars minus 37 dollars right parenthesis over 37 dollars equals 0.1081or 10.81 percent" style="width:282.25pt;height:18.25pt" o:ole="">
            <v:imagedata r:id="rId11" o:title=""/>
          </v:shape>
          <o:OLEObject Type="Embed" ProgID="Equation.DSMT4" ShapeID="_x0000_i1025" DrawAspect="Content" ObjectID="_1745331204" r:id="rId12"/>
        </w:object>
      </w:r>
    </w:p>
    <w:p w14:paraId="096795F5" w14:textId="1B895785" w:rsidR="004C18C0" w:rsidRPr="00CE2197" w:rsidRDefault="0018003E" w:rsidP="000C1B8F">
      <w:pPr>
        <w:tabs>
          <w:tab w:val="left" w:pos="450"/>
        </w:tabs>
        <w:ind w:left="446"/>
        <w:rPr>
          <w:szCs w:val="22"/>
        </w:rPr>
      </w:pPr>
      <w:r w:rsidRPr="00BA6328">
        <w:rPr>
          <w:position w:val="-10"/>
          <w:szCs w:val="22"/>
        </w:rPr>
        <w:object w:dxaOrig="4640" w:dyaOrig="320" w14:anchorId="46AA1788">
          <v:shape id="_x0000_i1026" type="#_x0000_t75" alt="Dividend yield equals 0.28 dollars over 37 dollars equals 0.0076, or 0.76 percent" style="width:231.35pt;height:15.35pt" o:ole="">
            <v:imagedata r:id="rId13" o:title=""/>
          </v:shape>
          <o:OLEObject Type="Embed" ProgID="Equation.DSMT4" ShapeID="_x0000_i1026" DrawAspect="Content" ObjectID="_1745331205" r:id="rId14"/>
        </w:object>
      </w:r>
    </w:p>
    <w:p w14:paraId="65F091D9" w14:textId="362E568F" w:rsidR="004C18C0" w:rsidRPr="00CE2197" w:rsidRDefault="0018003E" w:rsidP="000C1B8F">
      <w:pPr>
        <w:tabs>
          <w:tab w:val="left" w:pos="450"/>
        </w:tabs>
        <w:ind w:left="446"/>
        <w:rPr>
          <w:szCs w:val="22"/>
        </w:rPr>
      </w:pPr>
      <w:r w:rsidRPr="00BA6328">
        <w:rPr>
          <w:position w:val="-6"/>
          <w:szCs w:val="22"/>
        </w:rPr>
        <w:object w:dxaOrig="4959" w:dyaOrig="279" w14:anchorId="62A297F1">
          <v:shape id="_x0000_i1027" type="#_x0000_t75" alt="Total rate of return equals 10.81 percent plus 0.76 percent equals 11.57 percent" style="width:248.65pt;height:14.4pt" o:ole="">
            <v:imagedata r:id="rId15" o:title=""/>
          </v:shape>
          <o:OLEObject Type="Embed" ProgID="Equation.DSMT4" ShapeID="_x0000_i1027" DrawAspect="Content" ObjectID="_1745331206" r:id="rId16"/>
        </w:object>
      </w:r>
    </w:p>
    <w:p w14:paraId="0BD20828" w14:textId="191F0CF2" w:rsidR="004C18C0" w:rsidRPr="00CE2197" w:rsidRDefault="004C18C0" w:rsidP="00E92D2E">
      <w:pPr>
        <w:pStyle w:val="ListParagraph"/>
        <w:numPr>
          <w:ilvl w:val="0"/>
          <w:numId w:val="5"/>
        </w:numPr>
        <w:spacing w:before="240"/>
        <w:ind w:left="446" w:hanging="446"/>
      </w:pPr>
      <w:r w:rsidRPr="00CE2197">
        <w:t xml:space="preserve">Dollar return = </w:t>
      </w:r>
      <w:r w:rsidR="00BD5B30">
        <w:t>500</w:t>
      </w:r>
      <w:r w:rsidRPr="00CE2197">
        <w:t>($</w:t>
      </w:r>
      <w:r>
        <w:t>3</w:t>
      </w:r>
      <w:r w:rsidR="00BD5B30">
        <w:t>4</w:t>
      </w:r>
      <w:r w:rsidRPr="00CE2197">
        <w:t xml:space="preserve"> – </w:t>
      </w:r>
      <w:r w:rsidR="00B2425A">
        <w:t>$</w:t>
      </w:r>
      <w:r>
        <w:t xml:space="preserve">37 + </w:t>
      </w:r>
      <w:r w:rsidR="00B2425A">
        <w:t>$</w:t>
      </w:r>
      <w:r>
        <w:t>.28</w:t>
      </w:r>
      <w:r w:rsidRPr="00CE2197">
        <w:t xml:space="preserve">) = </w:t>
      </w:r>
      <w:r>
        <w:t>–</w:t>
      </w:r>
      <w:r w:rsidRPr="00CE2197">
        <w:t>$</w:t>
      </w:r>
      <w:r w:rsidR="00BD5B30">
        <w:t>1,360</w:t>
      </w:r>
    </w:p>
    <w:p w14:paraId="138FAE3E" w14:textId="21EB6BDE" w:rsidR="004C18C0" w:rsidRPr="00CE2197" w:rsidRDefault="0018003E" w:rsidP="000C1B8F">
      <w:pPr>
        <w:tabs>
          <w:tab w:val="left" w:pos="450"/>
        </w:tabs>
        <w:ind w:left="446"/>
        <w:rPr>
          <w:szCs w:val="22"/>
        </w:rPr>
      </w:pPr>
      <w:r w:rsidRPr="00EC0C77">
        <w:rPr>
          <w:position w:val="-14"/>
          <w:szCs w:val="22"/>
        </w:rPr>
        <w:object w:dxaOrig="6399" w:dyaOrig="400" w14:anchorId="0DBA5C27">
          <v:shape id="_x0000_i1028" type="#_x0000_t75" alt="Capital gains yield equals left parenthesis 34 dollars minus 37 dollars right parenthesis over 37 dollars equals negative 0.0811, or negative 8.11 percent" style="width:320.65pt;height:20.15pt" o:ole="">
            <v:imagedata r:id="rId17" o:title=""/>
          </v:shape>
          <o:OLEObject Type="Embed" ProgID="Equation.DSMT4" ShapeID="_x0000_i1028" DrawAspect="Content" ObjectID="_1745331207" r:id="rId18"/>
        </w:object>
      </w:r>
    </w:p>
    <w:p w14:paraId="0A1C2D7C" w14:textId="7AB79B22" w:rsidR="004C18C0" w:rsidRPr="00CE2197" w:rsidRDefault="0018003E" w:rsidP="000C1B8F">
      <w:pPr>
        <w:tabs>
          <w:tab w:val="left" w:pos="450"/>
        </w:tabs>
        <w:ind w:left="446"/>
        <w:rPr>
          <w:szCs w:val="22"/>
        </w:rPr>
      </w:pPr>
      <w:r w:rsidRPr="009A55CF">
        <w:rPr>
          <w:position w:val="-10"/>
          <w:szCs w:val="22"/>
        </w:rPr>
        <w:object w:dxaOrig="4640" w:dyaOrig="320" w14:anchorId="761B38F8">
          <v:shape id="_x0000_i1029" type="#_x0000_t75" alt="Dividend yield equals 0.28 dollars over 37 dollars equals 0.0076, or 0.76 percent" style="width:231.35pt;height:15.35pt" o:ole="">
            <v:imagedata r:id="rId19" o:title=""/>
          </v:shape>
          <o:OLEObject Type="Embed" ProgID="Equation.DSMT4" ShapeID="_x0000_i1029" DrawAspect="Content" ObjectID="_1745331208" r:id="rId20"/>
        </w:object>
      </w:r>
    </w:p>
    <w:p w14:paraId="7609A0EC" w14:textId="676D9188" w:rsidR="004C18C0" w:rsidRPr="00CE2197" w:rsidRDefault="004C18C0" w:rsidP="000C1B8F">
      <w:pPr>
        <w:tabs>
          <w:tab w:val="left" w:pos="450"/>
        </w:tabs>
        <w:ind w:left="446"/>
        <w:rPr>
          <w:szCs w:val="22"/>
        </w:rPr>
      </w:pPr>
      <w:r w:rsidRPr="00CE2197">
        <w:rPr>
          <w:szCs w:val="22"/>
        </w:rPr>
        <w:t xml:space="preserve">Total rate of return = </w:t>
      </w:r>
      <w:r>
        <w:rPr>
          <w:szCs w:val="22"/>
        </w:rPr>
        <w:t>–</w:t>
      </w:r>
      <w:r w:rsidR="00BD5B30">
        <w:rPr>
          <w:szCs w:val="22"/>
        </w:rPr>
        <w:t>8.11</w:t>
      </w:r>
      <w:r w:rsidRPr="00CE2197">
        <w:rPr>
          <w:szCs w:val="22"/>
        </w:rPr>
        <w:t xml:space="preserve">% + </w:t>
      </w:r>
      <w:r>
        <w:rPr>
          <w:szCs w:val="22"/>
        </w:rPr>
        <w:t>.76</w:t>
      </w:r>
      <w:r w:rsidRPr="00CE2197">
        <w:rPr>
          <w:szCs w:val="22"/>
        </w:rPr>
        <w:t xml:space="preserve">% = </w:t>
      </w:r>
      <w:r>
        <w:rPr>
          <w:szCs w:val="22"/>
        </w:rPr>
        <w:t>–</w:t>
      </w:r>
      <w:r w:rsidR="00BD5B30">
        <w:rPr>
          <w:szCs w:val="22"/>
        </w:rPr>
        <w:t>7.35</w:t>
      </w:r>
      <w:r w:rsidRPr="00CE2197">
        <w:rPr>
          <w:szCs w:val="22"/>
        </w:rPr>
        <w:t>%</w:t>
      </w:r>
    </w:p>
    <w:p w14:paraId="0DB2F782" w14:textId="5D1F1371" w:rsidR="00E92D2E" w:rsidRDefault="00E92D2E" w:rsidP="00E92D2E">
      <w:pPr>
        <w:pStyle w:val="ListParagraph"/>
        <w:numPr>
          <w:ilvl w:val="0"/>
          <w:numId w:val="5"/>
        </w:numPr>
        <w:spacing w:before="240"/>
        <w:ind w:left="446" w:hanging="446"/>
      </w:pPr>
    </w:p>
    <w:p w14:paraId="4E6AFE1C" w14:textId="25DE9026" w:rsidR="004C18C0" w:rsidRPr="00CE2197" w:rsidRDefault="004C18C0" w:rsidP="00BE313A">
      <w:pPr>
        <w:pStyle w:val="ListParagraph"/>
        <w:numPr>
          <w:ilvl w:val="0"/>
          <w:numId w:val="6"/>
        </w:numPr>
        <w:jc w:val="left"/>
      </w:pPr>
      <w:r w:rsidRPr="00CE2197">
        <w:t xml:space="preserve">average return = </w:t>
      </w:r>
      <w:r w:rsidR="00A441D7">
        <w:t>6.0%</w:t>
      </w:r>
      <w:r w:rsidRPr="00CE2197">
        <w:t xml:space="preserve">, average risk premium = </w:t>
      </w:r>
      <w:r w:rsidR="00A441D7">
        <w:t>2.7</w:t>
      </w:r>
      <w:r w:rsidRPr="00CE2197">
        <w:t>%</w:t>
      </w:r>
    </w:p>
    <w:p w14:paraId="79A35155" w14:textId="502D40D6" w:rsidR="004C18C0" w:rsidRPr="00CE2197" w:rsidRDefault="004C18C0" w:rsidP="00343701">
      <w:pPr>
        <w:pStyle w:val="ListParagraph"/>
        <w:numPr>
          <w:ilvl w:val="0"/>
          <w:numId w:val="6"/>
        </w:numPr>
        <w:jc w:val="left"/>
      </w:pPr>
      <w:r w:rsidRPr="00CE2197">
        <w:t xml:space="preserve">average return = </w:t>
      </w:r>
      <w:r w:rsidR="00A441D7">
        <w:t>3.3</w:t>
      </w:r>
      <w:r w:rsidRPr="00CE2197">
        <w:t>%, average risk premium = 0%</w:t>
      </w:r>
    </w:p>
    <w:p w14:paraId="09742FEE" w14:textId="731D3CE3" w:rsidR="004C18C0" w:rsidRPr="00CE2197" w:rsidRDefault="004C18C0" w:rsidP="00343701">
      <w:pPr>
        <w:pStyle w:val="ListParagraph"/>
        <w:numPr>
          <w:ilvl w:val="0"/>
          <w:numId w:val="6"/>
        </w:numPr>
        <w:jc w:val="left"/>
      </w:pPr>
      <w:r w:rsidRPr="00CE2197">
        <w:t xml:space="preserve">average return = </w:t>
      </w:r>
      <w:r w:rsidR="00A441D7">
        <w:t>12.3</w:t>
      </w:r>
      <w:r w:rsidRPr="00CE2197">
        <w:t xml:space="preserve">%, average risk premium = </w:t>
      </w:r>
      <w:r w:rsidR="00A441D7">
        <w:t>9.0</w:t>
      </w:r>
      <w:r w:rsidRPr="00CE2197">
        <w:t>%</w:t>
      </w:r>
    </w:p>
    <w:p w14:paraId="4C5CC107" w14:textId="77777777" w:rsidR="00E21AB2" w:rsidRDefault="004C18C0" w:rsidP="00343701">
      <w:pPr>
        <w:pStyle w:val="ListParagraph"/>
        <w:numPr>
          <w:ilvl w:val="0"/>
          <w:numId w:val="6"/>
        </w:numPr>
        <w:jc w:val="left"/>
      </w:pPr>
      <w:r w:rsidRPr="00CE2197">
        <w:t xml:space="preserve">average return = </w:t>
      </w:r>
      <w:r w:rsidR="00A441D7">
        <w:t>16.3</w:t>
      </w:r>
      <w:r w:rsidRPr="00CE2197">
        <w:t xml:space="preserve">%, average risk premium = </w:t>
      </w:r>
      <w:r w:rsidR="00A441D7">
        <w:t>13.0</w:t>
      </w:r>
      <w:r w:rsidRPr="00CE2197">
        <w:t>%</w:t>
      </w:r>
    </w:p>
    <w:p w14:paraId="70937621" w14:textId="6D852DEF" w:rsidR="00E21AB2" w:rsidRDefault="0018003E" w:rsidP="00F11E5F">
      <w:pPr>
        <w:pStyle w:val="ListParagraph"/>
        <w:numPr>
          <w:ilvl w:val="0"/>
          <w:numId w:val="5"/>
        </w:numPr>
        <w:spacing w:before="240"/>
        <w:ind w:left="446" w:hanging="446"/>
      </w:pPr>
      <w:r w:rsidRPr="003A1EC6">
        <w:rPr>
          <w:position w:val="-14"/>
        </w:rPr>
        <w:object w:dxaOrig="7400" w:dyaOrig="400" w14:anchorId="61976A20">
          <v:shape id="_x0000_i1030" type="#_x0000_t75" alt="Cherry average return left parenthesis 17 percent plus 11 percent negative 2 percent plus 3 percent plus 14 percent right parenthesis over 5 equals 8.60 percent" style="width:369.6pt;height:20.15pt" o:ole="">
            <v:imagedata r:id="rId21" o:title=""/>
          </v:shape>
          <o:OLEObject Type="Embed" ProgID="Equation.DSMT4" ShapeID="_x0000_i1030" DrawAspect="Content" ObjectID="_1745331209" r:id="rId22"/>
        </w:object>
      </w:r>
    </w:p>
    <w:p w14:paraId="62870BE6" w14:textId="728150A0" w:rsidR="004C18C0" w:rsidRPr="00CE2197" w:rsidRDefault="0018003E" w:rsidP="000F0C03">
      <w:pPr>
        <w:tabs>
          <w:tab w:val="left" w:pos="450"/>
        </w:tabs>
        <w:ind w:left="446"/>
        <w:rPr>
          <w:szCs w:val="22"/>
        </w:rPr>
      </w:pPr>
      <w:r w:rsidRPr="003A1EC6">
        <w:rPr>
          <w:position w:val="-14"/>
          <w:szCs w:val="22"/>
        </w:rPr>
        <w:object w:dxaOrig="7400" w:dyaOrig="400" w14:anchorId="314AF29C">
          <v:shape id="_x0000_i1031" type="#_x0000_t75" alt="Straw average return equals left parenthesis 16 percent plus 18 percent negative 6 percent plus 1 percent plus 22 percent right parenthesis over 5 equals 10.20 percent" style="width:369.6pt;height:20.15pt" o:ole="">
            <v:imagedata r:id="rId23" o:title=""/>
          </v:shape>
          <o:OLEObject Type="Embed" ProgID="Equation.DSMT4" ShapeID="_x0000_i1031" DrawAspect="Content" ObjectID="_1745331210" r:id="rId24"/>
        </w:object>
      </w:r>
    </w:p>
    <w:p w14:paraId="4A446D24" w14:textId="707430EA" w:rsidR="004C18C0" w:rsidRPr="00CE2197" w:rsidRDefault="0018003E" w:rsidP="00F11E5F">
      <w:pPr>
        <w:pStyle w:val="ListParagraph"/>
        <w:numPr>
          <w:ilvl w:val="0"/>
          <w:numId w:val="5"/>
        </w:numPr>
        <w:spacing w:before="240"/>
        <w:ind w:left="446" w:hanging="446"/>
      </w:pPr>
      <w:r w:rsidRPr="00B249B8">
        <w:rPr>
          <w:position w:val="-12"/>
        </w:rPr>
        <w:object w:dxaOrig="2100" w:dyaOrig="360" w14:anchorId="5B0E6389">
          <v:shape id="_x0000_i1032" type="#_x0000_t75" alt="Cherry: upper R Subscript upper A Baseline equals 8.60 percent" style="width:104.65pt;height:18.25pt" o:ole="">
            <v:imagedata r:id="rId25" o:title=""/>
          </v:shape>
          <o:OLEObject Type="Embed" ProgID="Equation.DSMT4" ShapeID="_x0000_i1032" DrawAspect="Content" ObjectID="_1745331211" r:id="rId26"/>
        </w:object>
      </w:r>
    </w:p>
    <w:p w14:paraId="4DE95C06" w14:textId="7319C9AD" w:rsidR="004C18C0" w:rsidRPr="00CE2197" w:rsidRDefault="0018003E" w:rsidP="009409D1">
      <w:pPr>
        <w:ind w:left="446"/>
      </w:pPr>
      <w:r w:rsidRPr="009E477C">
        <w:rPr>
          <w:position w:val="-20"/>
        </w:rPr>
        <w:object w:dxaOrig="9940" w:dyaOrig="520" w14:anchorId="7B88E01B">
          <v:shape id="_x0000_i1033" type="#_x0000_t75" alt="Var equals 1 over 4 left bracket left parenthesis 0.17 minus 0.086 right parenthesis squared plus left parenthesis 0.11 minus 0.086 right parenthesis plus left parenthesis negative 0.02 minus 0.086 right parenthesis squared plus left parenthesis 0.03 minus 0.086 right parenthesis squared plus left parenthesis 0.14 minus 0.086 right parenthesis squared right bracket equals 0.00623" style="width:497.3pt;height:25.9pt" o:ole="">
            <v:imagedata r:id="rId27" o:title=""/>
          </v:shape>
          <o:OLEObject Type="Embed" ProgID="Equation.DSMT4" ShapeID="_x0000_i1033" DrawAspect="Content" ObjectID="_1745331212" r:id="rId28"/>
        </w:object>
      </w:r>
      <w:r w:rsidRPr="006C3D9C">
        <w:rPr>
          <w:position w:val="-12"/>
        </w:rPr>
        <w:object w:dxaOrig="4819" w:dyaOrig="420" w14:anchorId="7F27EEE2">
          <v:shape id="_x0000_i1034" type="#_x0000_t75" alt="Standard deviation left parenthesis 0.00623 right parenthesis Superscript 1 over 2 Baseline equals 0.0789, or 7.89 percent" style="width:240.95pt;height:21.1pt" o:ole="">
            <v:imagedata r:id="rId29" o:title=""/>
          </v:shape>
          <o:OLEObject Type="Embed" ProgID="Equation.DSMT4" ShapeID="_x0000_i1034" DrawAspect="Content" ObjectID="_1745331213" r:id="rId30"/>
        </w:object>
      </w:r>
    </w:p>
    <w:p w14:paraId="149477C4" w14:textId="64AB3AE3" w:rsidR="004C18C0" w:rsidRPr="00CE2197" w:rsidRDefault="0018003E" w:rsidP="00B63ED4">
      <w:pPr>
        <w:tabs>
          <w:tab w:val="left" w:pos="440"/>
        </w:tabs>
        <w:spacing w:before="240"/>
        <w:ind w:left="446"/>
        <w:rPr>
          <w:szCs w:val="22"/>
        </w:rPr>
      </w:pPr>
      <w:r w:rsidRPr="007D107D">
        <w:rPr>
          <w:position w:val="-12"/>
          <w:szCs w:val="22"/>
        </w:rPr>
        <w:object w:dxaOrig="2079" w:dyaOrig="360" w14:anchorId="3BD824F9">
          <v:shape id="_x0000_i1035" type="#_x0000_t75" alt="Straw: upper R Subscript upper B Baseline equals 10.20 percent" style="width:104.65pt;height:18.25pt" o:ole="">
            <v:imagedata r:id="rId31" o:title=""/>
          </v:shape>
          <o:OLEObject Type="Embed" ProgID="Equation.DSMT4" ShapeID="_x0000_i1035" DrawAspect="Content" ObjectID="_1745331214" r:id="rId32"/>
        </w:object>
      </w:r>
    </w:p>
    <w:p w14:paraId="4531A1C3" w14:textId="24BBC2AA" w:rsidR="004C18C0" w:rsidRPr="00CE2197" w:rsidRDefault="0018003E" w:rsidP="00544F1A">
      <w:pPr>
        <w:tabs>
          <w:tab w:val="left" w:pos="440"/>
        </w:tabs>
        <w:ind w:left="446"/>
        <w:rPr>
          <w:szCs w:val="22"/>
        </w:rPr>
      </w:pPr>
      <w:r w:rsidRPr="007D107D">
        <w:rPr>
          <w:position w:val="-20"/>
          <w:szCs w:val="22"/>
        </w:rPr>
        <w:object w:dxaOrig="10560" w:dyaOrig="520" w14:anchorId="1279F5CE">
          <v:shape id="_x0000_i1036" type="#_x0000_t75" alt="Var 1 over 4 left-bracket left parenthesis 0.16 minus 0.102 right parenthesis squared plus left parenthesis 0.18 minus 0.102 right parenthesis squared plus left parenthesis negative 0.06 minus 0.102 right parenthesis squared plus left parenthesis 0.01 minus 0.102 right parenthesis squared plus left parenthesis 0.22 minus 0.102 right parenthesis squared right-bracket equals 0.01452" style="width:501.1pt;height:25.9pt" o:ole="">
            <v:imagedata r:id="rId33" o:title=""/>
          </v:shape>
          <o:OLEObject Type="Embed" ProgID="Equation.DSMT4" ShapeID="_x0000_i1036" DrawAspect="Content" ObjectID="_1745331215" r:id="rId34"/>
        </w:object>
      </w:r>
      <w:r w:rsidRPr="00DF55E2">
        <w:rPr>
          <w:position w:val="-14"/>
          <w:szCs w:val="22"/>
        </w:rPr>
        <w:object w:dxaOrig="5300" w:dyaOrig="440" w14:anchorId="763D3B35">
          <v:shape id="_x0000_i1037" type="#_x0000_t75" alt="Standard deviation left parenthesis 0.01452 right parenthesis Superscript 1 over 2 Baseline equals 0.1205, or 12.05 percent" style="width:264.95pt;height:22.1pt" o:ole="">
            <v:imagedata r:id="rId35" o:title=""/>
          </v:shape>
          <o:OLEObject Type="Embed" ProgID="Equation.DSMT4" ShapeID="_x0000_i1037" DrawAspect="Content" ObjectID="_1745331216" r:id="rId36"/>
        </w:object>
      </w:r>
    </w:p>
    <w:p w14:paraId="502649EA" w14:textId="544C94D2" w:rsidR="004C18C0" w:rsidRPr="00CE2197" w:rsidRDefault="004C18C0" w:rsidP="00F11E5F">
      <w:pPr>
        <w:pStyle w:val="ListParagraph"/>
        <w:numPr>
          <w:ilvl w:val="0"/>
          <w:numId w:val="5"/>
        </w:numPr>
        <w:spacing w:before="240"/>
        <w:ind w:left="446" w:hanging="446"/>
      </w:pPr>
      <w:r w:rsidRPr="00CE2197">
        <w:t xml:space="preserve">The capital gains yield </w:t>
      </w:r>
      <w:proofErr w:type="gramStart"/>
      <w:r w:rsidRPr="00CE2197">
        <w:t xml:space="preserve">is </w:t>
      </w:r>
      <w:proofErr w:type="gramEnd"/>
      <w:r w:rsidR="0018003E" w:rsidRPr="000574EA">
        <w:rPr>
          <w:position w:val="-14"/>
        </w:rPr>
        <w:object w:dxaOrig="2960" w:dyaOrig="400" w14:anchorId="48B99A7F">
          <v:shape id="_x0000_i1038" type="#_x0000_t75" alt="left parenthesis 59 dollars minus 65 dollars right parenthesis over 65 dollars equals negative 0.0923" style="width:147.85pt;height:20.15pt" o:ole="">
            <v:imagedata r:id="rId37" o:title=""/>
          </v:shape>
          <o:OLEObject Type="Embed" ProgID="Equation.DSMT4" ShapeID="_x0000_i1038" DrawAspect="Content" ObjectID="_1745331217" r:id="rId38"/>
        </w:object>
      </w:r>
      <w:r w:rsidR="00CE7C96">
        <w:t>,</w:t>
      </w:r>
      <w:r w:rsidRPr="00CE2197">
        <w:t xml:space="preserve"> or </w:t>
      </w:r>
      <w:r w:rsidR="00B13F1F" w:rsidRPr="00CE2197">
        <w:t>–</w:t>
      </w:r>
      <w:r w:rsidR="00BD5B30">
        <w:t>9.23</w:t>
      </w:r>
      <w:r w:rsidRPr="00CE2197">
        <w:t>% (notice the negative sign).</w:t>
      </w:r>
      <w:r w:rsidR="00E21AB2">
        <w:t xml:space="preserve"> </w:t>
      </w:r>
      <w:r w:rsidRPr="00CE2197">
        <w:t xml:space="preserve">With a dividend yield of </w:t>
      </w:r>
      <w:r w:rsidR="00BD5B30">
        <w:t>1.2</w:t>
      </w:r>
      <w:r w:rsidRPr="00CE2197">
        <w:t xml:space="preserve"> percent, the total return is –</w:t>
      </w:r>
      <w:r w:rsidR="00BD5B30">
        <w:t>8.03</w:t>
      </w:r>
      <w:r w:rsidRPr="00CE2197">
        <w:t>%.</w:t>
      </w:r>
    </w:p>
    <w:p w14:paraId="248FE162" w14:textId="56ED16F9" w:rsidR="0038080F" w:rsidRDefault="0018003E" w:rsidP="00F11E5F">
      <w:pPr>
        <w:pStyle w:val="ListParagraph"/>
        <w:numPr>
          <w:ilvl w:val="0"/>
          <w:numId w:val="5"/>
        </w:numPr>
        <w:spacing w:before="240"/>
        <w:ind w:left="446" w:hanging="446"/>
        <w:rPr>
          <w:bCs/>
        </w:rPr>
      </w:pPr>
      <w:r w:rsidRPr="005A4DEA">
        <w:rPr>
          <w:bCs/>
          <w:position w:val="-16"/>
        </w:rPr>
        <w:object w:dxaOrig="9639" w:dyaOrig="480" w14:anchorId="336E3C41">
          <v:shape id="_x0000_i1039" type="#_x0000_t75" alt="Geometric return equals left bracket left parenthesis 1 plus 0.17 right parenthesis left parenthesis 1 plus 0.11 right parenthesis left parenthesis 1 minus 0.02 right parenthesis left parenthesis 1 plus 0.03 right parenthesis left parenthesis 1 plus 0.14 right parenthesis right bracket superscript 0.3 baseline minus 1 equals 0.0837, or 8.37 percent" style="width:443.5pt;height:24pt;mso-position-vertical:absolute" o:ole="">
            <v:imagedata r:id="rId39" o:title=""/>
          </v:shape>
          <o:OLEObject Type="Embed" ProgID="Equation.DSMT4" ShapeID="_x0000_i1039" DrawAspect="Content" ObjectID="_1745331218" r:id="rId40"/>
        </w:object>
      </w:r>
    </w:p>
    <w:p w14:paraId="0E17FAFD" w14:textId="2AD29145" w:rsidR="004C18C0" w:rsidRPr="0038080F" w:rsidRDefault="0018003E" w:rsidP="00F11E5F">
      <w:pPr>
        <w:pStyle w:val="ListParagraph"/>
        <w:numPr>
          <w:ilvl w:val="0"/>
          <w:numId w:val="5"/>
        </w:numPr>
        <w:spacing w:before="240"/>
        <w:ind w:left="446" w:hanging="446"/>
        <w:rPr>
          <w:bCs/>
        </w:rPr>
      </w:pPr>
      <w:r w:rsidRPr="00644457">
        <w:rPr>
          <w:bCs/>
          <w:position w:val="-14"/>
        </w:rPr>
        <w:object w:dxaOrig="8040" w:dyaOrig="400" w14:anchorId="4D759A9A">
          <v:shape id="_x0000_i1040" type="#_x0000_t75" alt="Arithmetic return left parenthesis 0.21 plus 0.12 plus 0.07 minus 0.13 minus 0.04 plus 0.26 right parenthesis over 6 equals 0.0817, or 8.17 percent" style="width:403.2pt;height:20.15pt;mso-position-vertical:absolute" o:ole="">
            <v:imagedata r:id="rId41" o:title=""/>
          </v:shape>
          <o:OLEObject Type="Embed" ProgID="Equation.DSMT4" ShapeID="_x0000_i1040" DrawAspect="Content" ObjectID="_1745331219" r:id="rId42"/>
        </w:object>
      </w:r>
    </w:p>
    <w:p w14:paraId="7B8ADEB2" w14:textId="6606E6BA" w:rsidR="00B43276" w:rsidRDefault="0018003E" w:rsidP="00644457">
      <w:pPr>
        <w:tabs>
          <w:tab w:val="left" w:pos="450"/>
        </w:tabs>
        <w:ind w:left="446"/>
        <w:rPr>
          <w:i/>
          <w:szCs w:val="22"/>
          <w:u w:val="single"/>
        </w:rPr>
      </w:pPr>
      <w:r w:rsidRPr="00644457">
        <w:rPr>
          <w:bCs/>
          <w:position w:val="-16"/>
          <w:szCs w:val="22"/>
        </w:rPr>
        <w:object w:dxaOrig="10500" w:dyaOrig="480" w14:anchorId="21E5605D">
          <v:shape id="_x0000_i1041" type="#_x0000_t75" alt="Geometric return equals left bracket left parenthesis 1 plus 0.21 right parenthesis left parenthesis 1 plus 0.12 right parenthesis left parenthesis 1 minus 0.07 right parenthesis left parenthesis 1 plus 0.13 right parenthesis left parenthesis 1 plus 0.04 right parenthesis left parenthesis 1 plus 0.26 right parenthesis right bracket superscript 0.2 baseline minus 1 equals 0.0730, or 7.30 percent" style="width:498.25pt;height:24pt" o:ole="">
            <v:imagedata r:id="rId43" o:title=""/>
          </v:shape>
          <o:OLEObject Type="Embed" ProgID="Equation.DSMT4" ShapeID="_x0000_i1041" DrawAspect="Content" ObjectID="_1745331220" r:id="rId44"/>
        </w:object>
      </w:r>
      <w:r w:rsidR="004C18C0">
        <w:rPr>
          <w:i/>
          <w:szCs w:val="22"/>
          <w:u w:val="single"/>
        </w:rPr>
        <w:br w:type="page"/>
      </w:r>
    </w:p>
    <w:p w14:paraId="2352B6CE" w14:textId="198E39C5" w:rsidR="004C18C0" w:rsidRDefault="004C18C0" w:rsidP="004C18C0">
      <w:pPr>
        <w:tabs>
          <w:tab w:val="left" w:pos="450"/>
        </w:tabs>
        <w:rPr>
          <w:i/>
          <w:szCs w:val="22"/>
          <w:u w:val="single"/>
        </w:rPr>
      </w:pPr>
      <w:r w:rsidRPr="00CE2197">
        <w:rPr>
          <w:i/>
          <w:szCs w:val="22"/>
          <w:u w:val="single"/>
        </w:rPr>
        <w:lastRenderedPageBreak/>
        <w:t>Intermediate Questions</w:t>
      </w:r>
    </w:p>
    <w:p w14:paraId="07EA9E9C" w14:textId="0D42D3BE" w:rsidR="004C18C0" w:rsidRPr="00CE2197" w:rsidRDefault="004C18C0" w:rsidP="00365E25">
      <w:pPr>
        <w:pStyle w:val="ListParagraph"/>
        <w:numPr>
          <w:ilvl w:val="0"/>
          <w:numId w:val="5"/>
        </w:numPr>
        <w:spacing w:before="240"/>
        <w:ind w:left="446" w:hanging="446"/>
      </w:pPr>
      <w:r w:rsidRPr="00CE2197">
        <w:t>That’s plus or minus one standard deviation, so about two-thirds of the time</w:t>
      </w:r>
      <w:r>
        <w:t>,</w:t>
      </w:r>
      <w:r w:rsidRPr="00CE2197">
        <w:t xml:space="preserve"> or two years out of three. In one year out of three, you will be outside this range, implying that you will be below it one year out of six</w:t>
      </w:r>
      <w:r>
        <w:t xml:space="preserve"> and above it one year out of six</w:t>
      </w:r>
      <w:r w:rsidRPr="00CE2197">
        <w:t>.</w:t>
      </w:r>
    </w:p>
    <w:p w14:paraId="21527D5E" w14:textId="1D68E114" w:rsidR="004C18C0" w:rsidRPr="00CE2197" w:rsidRDefault="004C18C0" w:rsidP="00365E25">
      <w:pPr>
        <w:pStyle w:val="ListParagraph"/>
        <w:numPr>
          <w:ilvl w:val="0"/>
          <w:numId w:val="5"/>
        </w:numPr>
        <w:spacing w:before="240"/>
        <w:ind w:left="446" w:hanging="446"/>
      </w:pPr>
      <w:r w:rsidRPr="00CE2197">
        <w:t xml:space="preserve">You lose money if you have a negative return. With </w:t>
      </w:r>
      <w:r w:rsidR="00BD5B30">
        <w:t>a 12</w:t>
      </w:r>
      <w:r w:rsidRPr="00CE2197">
        <w:t xml:space="preserve"> percent expected return and a </w:t>
      </w:r>
      <w:r w:rsidR="00BD5B30">
        <w:t>6</w:t>
      </w:r>
      <w:r>
        <w:t xml:space="preserve"> </w:t>
      </w:r>
      <w:r w:rsidRPr="00CE2197">
        <w:t xml:space="preserve">percent standard deviation, a zero return is two standard deviations below the average. The odds of being outside (above or below) two standard deviations are 5 percent; the odds of being below are half that, or 2.5 percent. </w:t>
      </w:r>
      <w:r>
        <w:t xml:space="preserve">(It’s actually 2.28 percent.) </w:t>
      </w:r>
      <w:r w:rsidRPr="00CE2197">
        <w:t>You should expect to lose money only 2.5 years out of every 100. It’s a pretty safe investment.</w:t>
      </w:r>
    </w:p>
    <w:p w14:paraId="43DF31F9" w14:textId="1C307FA9" w:rsidR="004C18C0" w:rsidRPr="006C30A4" w:rsidRDefault="004C18C0" w:rsidP="00365E25">
      <w:pPr>
        <w:pStyle w:val="ListParagraph"/>
        <w:numPr>
          <w:ilvl w:val="0"/>
          <w:numId w:val="5"/>
        </w:numPr>
        <w:spacing w:before="240"/>
        <w:ind w:left="446" w:hanging="446"/>
      </w:pPr>
      <w:r w:rsidRPr="006C30A4">
        <w:t xml:space="preserve">The average return is </w:t>
      </w:r>
      <w:r w:rsidR="00A441D7">
        <w:t>6.0</w:t>
      </w:r>
      <w:r w:rsidRPr="006C30A4">
        <w:t xml:space="preserve"> percent, with a standard deviation of </w:t>
      </w:r>
      <w:r w:rsidR="00481C05">
        <w:t>9.</w:t>
      </w:r>
      <w:r w:rsidR="00A441D7">
        <w:t xml:space="preserve">8 percent, so </w:t>
      </w:r>
      <w:proofErr w:type="spellStart"/>
      <w:proofErr w:type="gramStart"/>
      <w:r w:rsidR="00A441D7">
        <w:t>Prob</w:t>
      </w:r>
      <w:proofErr w:type="spellEnd"/>
      <w:r w:rsidR="00A441D7">
        <w:t>(</w:t>
      </w:r>
      <w:proofErr w:type="gramEnd"/>
      <w:r w:rsidR="00A441D7">
        <w:t>Return &lt; –3.8</w:t>
      </w:r>
      <w:r w:rsidR="00481C05">
        <w:t xml:space="preserve"> </w:t>
      </w:r>
      <w:r w:rsidRPr="006C30A4">
        <w:t xml:space="preserve">or </w:t>
      </w:r>
      <w:r w:rsidR="0018003E" w:rsidRPr="00D10019">
        <w:rPr>
          <w:position w:val="-10"/>
        </w:rPr>
        <w:object w:dxaOrig="2400" w:dyaOrig="320" w14:anchorId="2EABB869">
          <v:shape id="_x0000_i1042" type="#_x0000_t75" alt="Return 15.8 right parenthesis approximately equals 1 over 3" style="width:120pt;height:15.35pt" o:ole="">
            <v:imagedata r:id="rId45" o:title=""/>
          </v:shape>
          <o:OLEObject Type="Embed" ProgID="Equation.DSMT4" ShapeID="_x0000_i1042" DrawAspect="Content" ObjectID="_1745331221" r:id="rId46"/>
        </w:object>
      </w:r>
      <w:r w:rsidRPr="006C30A4">
        <w:fldChar w:fldCharType="begin"/>
      </w:r>
      <w:r w:rsidRPr="006C30A4">
        <w:instrText>ADVANCE \u1</w:instrText>
      </w:r>
      <w:r w:rsidRPr="006C30A4">
        <w:fldChar w:fldCharType="end"/>
      </w:r>
      <w:r w:rsidRPr="006C30A4">
        <w:t xml:space="preserve">, but we are only interested </w:t>
      </w:r>
      <w:r w:rsidR="00EC2524">
        <w:t>in one tail;</w:t>
      </w:r>
      <w:r w:rsidR="00377C4A">
        <w:t xml:space="preserve"> </w:t>
      </w:r>
      <w:r w:rsidR="0018003E" w:rsidRPr="00377C4A">
        <w:rPr>
          <w:position w:val="-14"/>
        </w:rPr>
        <w:object w:dxaOrig="3060" w:dyaOrig="400" w14:anchorId="79EF13E0">
          <v:shape id="_x0000_i1043" type="#_x0000_t75" alt="Prob left parenthesis Return negative 3.9 right parenthesis approximately equals 1 over 6" style="width:152.65pt;height:20.15pt" o:ole="">
            <v:imagedata r:id="rId47" o:title=""/>
          </v:shape>
          <o:OLEObject Type="Embed" ProgID="Equation.DSMT4" ShapeID="_x0000_i1043" DrawAspect="Content" ObjectID="_1745331222" r:id="rId48"/>
        </w:object>
      </w:r>
      <w:r w:rsidR="00EC2524">
        <w:t xml:space="preserve"> </w:t>
      </w:r>
      <w:r w:rsidRPr="006C30A4">
        <w:fldChar w:fldCharType="begin"/>
      </w:r>
      <w:r w:rsidRPr="006C30A4">
        <w:instrText>ADVANCE \u1</w:instrText>
      </w:r>
      <w:r w:rsidRPr="006C30A4">
        <w:fldChar w:fldCharType="end"/>
      </w:r>
      <w:r w:rsidRPr="006C30A4">
        <w:t xml:space="preserve">, which is half of </w:t>
      </w:r>
      <w:r w:rsidR="0018003E" w:rsidRPr="00186875">
        <w:rPr>
          <w:position w:val="-6"/>
        </w:rPr>
        <w:object w:dxaOrig="420" w:dyaOrig="279" w14:anchorId="40A185FB">
          <v:shape id="_x0000_i1044" type="#_x0000_t75" alt="1 over 3" style="width:21.1pt;height:14.4pt" o:ole="">
            <v:imagedata r:id="rId49" o:title=""/>
          </v:shape>
          <o:OLEObject Type="Embed" ProgID="Equation.DSMT4" ShapeID="_x0000_i1044" DrawAspect="Content" ObjectID="_1745331223" r:id="rId50"/>
        </w:object>
      </w:r>
      <w:r w:rsidR="00A14B0E">
        <w:t xml:space="preserve"> (or about 16%)</w:t>
      </w:r>
      <w:r w:rsidRPr="006C30A4">
        <w:t xml:space="preserve"> .</w:t>
      </w:r>
    </w:p>
    <w:p w14:paraId="648D0049" w14:textId="00C4B685" w:rsidR="004C18C0" w:rsidRPr="006C30A4" w:rsidRDefault="004C18C0" w:rsidP="00972491">
      <w:pPr>
        <w:tabs>
          <w:tab w:val="left" w:pos="450"/>
        </w:tabs>
        <w:ind w:left="446"/>
        <w:rPr>
          <w:szCs w:val="22"/>
        </w:rPr>
      </w:pPr>
      <w:r w:rsidRPr="006C30A4">
        <w:rPr>
          <w:szCs w:val="22"/>
        </w:rPr>
        <w:t>95%:</w:t>
      </w:r>
      <w:r w:rsidR="00E21AB2">
        <w:rPr>
          <w:szCs w:val="22"/>
        </w:rPr>
        <w:t xml:space="preserve"> </w:t>
      </w:r>
      <w:r w:rsidR="00A14B0E">
        <w:rPr>
          <w:szCs w:val="22"/>
        </w:rPr>
        <w:t>6.0</w:t>
      </w:r>
      <w:r w:rsidR="00481C05">
        <w:rPr>
          <w:szCs w:val="22"/>
        </w:rPr>
        <w:t xml:space="preserve"> </w:t>
      </w:r>
      <w:r w:rsidRPr="006C30A4">
        <w:rPr>
          <w:szCs w:val="22"/>
        </w:rPr>
        <w:t>± 2</w:t>
      </w:r>
      <w:r w:rsidRPr="006C30A4">
        <w:rPr>
          <w:szCs w:val="22"/>
          <w:lang w:val="el-GR"/>
        </w:rPr>
        <w:t>σ</w:t>
      </w:r>
      <w:r w:rsidRPr="006C30A4">
        <w:rPr>
          <w:szCs w:val="22"/>
        </w:rPr>
        <w:t xml:space="preserve"> = </w:t>
      </w:r>
      <w:r w:rsidR="00A14B0E">
        <w:rPr>
          <w:szCs w:val="22"/>
        </w:rPr>
        <w:t>6.0</w:t>
      </w:r>
      <w:r w:rsidR="00481C05">
        <w:rPr>
          <w:szCs w:val="22"/>
        </w:rPr>
        <w:t xml:space="preserve"> </w:t>
      </w:r>
      <w:r w:rsidRPr="006C30A4">
        <w:rPr>
          <w:szCs w:val="22"/>
        </w:rPr>
        <w:t>± 2(</w:t>
      </w:r>
      <w:r w:rsidR="00481C05">
        <w:rPr>
          <w:szCs w:val="22"/>
        </w:rPr>
        <w:t>9.8</w:t>
      </w:r>
      <w:r w:rsidRPr="006C30A4">
        <w:rPr>
          <w:szCs w:val="22"/>
        </w:rPr>
        <w:t>) = –</w:t>
      </w:r>
      <w:r w:rsidR="00A14B0E">
        <w:rPr>
          <w:szCs w:val="22"/>
        </w:rPr>
        <w:t>13.6</w:t>
      </w:r>
      <w:r w:rsidRPr="006C30A4">
        <w:rPr>
          <w:szCs w:val="22"/>
        </w:rPr>
        <w:t xml:space="preserve">% to </w:t>
      </w:r>
      <w:r w:rsidR="00481C05">
        <w:rPr>
          <w:szCs w:val="22"/>
        </w:rPr>
        <w:t>2</w:t>
      </w:r>
      <w:r w:rsidR="00A14B0E">
        <w:rPr>
          <w:szCs w:val="22"/>
        </w:rPr>
        <w:t>5.6</w:t>
      </w:r>
      <w:r w:rsidRPr="006C30A4">
        <w:rPr>
          <w:szCs w:val="22"/>
        </w:rPr>
        <w:t>%</w:t>
      </w:r>
    </w:p>
    <w:p w14:paraId="1050E0C4" w14:textId="6A3E7D21" w:rsidR="004C18C0" w:rsidRPr="00CE2197" w:rsidRDefault="004C18C0" w:rsidP="00972491">
      <w:pPr>
        <w:tabs>
          <w:tab w:val="left" w:pos="450"/>
        </w:tabs>
        <w:ind w:left="446"/>
        <w:rPr>
          <w:szCs w:val="22"/>
        </w:rPr>
      </w:pPr>
      <w:r w:rsidRPr="006C30A4">
        <w:rPr>
          <w:szCs w:val="22"/>
        </w:rPr>
        <w:t>99%:</w:t>
      </w:r>
      <w:r w:rsidR="00E21AB2">
        <w:rPr>
          <w:szCs w:val="22"/>
        </w:rPr>
        <w:t xml:space="preserve"> </w:t>
      </w:r>
      <w:r w:rsidR="00A14B0E">
        <w:rPr>
          <w:szCs w:val="22"/>
        </w:rPr>
        <w:t>6.0</w:t>
      </w:r>
      <w:r w:rsidRPr="006C30A4">
        <w:rPr>
          <w:szCs w:val="22"/>
        </w:rPr>
        <w:t xml:space="preserve"> ± 3</w:t>
      </w:r>
      <w:r w:rsidRPr="006C30A4">
        <w:rPr>
          <w:szCs w:val="22"/>
          <w:lang w:val="el-GR"/>
        </w:rPr>
        <w:t>σ</w:t>
      </w:r>
      <w:r w:rsidRPr="006C30A4">
        <w:rPr>
          <w:szCs w:val="22"/>
        </w:rPr>
        <w:t xml:space="preserve"> = </w:t>
      </w:r>
      <w:r w:rsidR="00A14B0E">
        <w:rPr>
          <w:szCs w:val="22"/>
        </w:rPr>
        <w:t>6.0</w:t>
      </w:r>
      <w:r w:rsidRPr="006C30A4">
        <w:rPr>
          <w:szCs w:val="22"/>
        </w:rPr>
        <w:t xml:space="preserve"> ± 3(</w:t>
      </w:r>
      <w:r w:rsidR="00481C05">
        <w:rPr>
          <w:szCs w:val="22"/>
        </w:rPr>
        <w:t>9.8</w:t>
      </w:r>
      <w:r w:rsidRPr="006C30A4">
        <w:rPr>
          <w:szCs w:val="22"/>
        </w:rPr>
        <w:t>) = –</w:t>
      </w:r>
      <w:r w:rsidR="00481C05">
        <w:rPr>
          <w:szCs w:val="22"/>
        </w:rPr>
        <w:t>23.</w:t>
      </w:r>
      <w:r w:rsidR="00A14B0E">
        <w:rPr>
          <w:szCs w:val="22"/>
        </w:rPr>
        <w:t>4</w:t>
      </w:r>
      <w:r w:rsidRPr="006C30A4">
        <w:rPr>
          <w:szCs w:val="22"/>
        </w:rPr>
        <w:t xml:space="preserve">% to </w:t>
      </w:r>
      <w:r w:rsidR="00A14B0E">
        <w:rPr>
          <w:szCs w:val="22"/>
        </w:rPr>
        <w:t>35.4</w:t>
      </w:r>
      <w:r w:rsidRPr="006C30A4">
        <w:rPr>
          <w:szCs w:val="22"/>
        </w:rPr>
        <w:t>%</w:t>
      </w:r>
    </w:p>
    <w:p w14:paraId="5D8B086A" w14:textId="02223771" w:rsidR="004C18C0" w:rsidRPr="00CE2197" w:rsidRDefault="006C30A4" w:rsidP="00365E25">
      <w:pPr>
        <w:pStyle w:val="ListParagraph"/>
        <w:numPr>
          <w:ilvl w:val="0"/>
          <w:numId w:val="5"/>
        </w:numPr>
        <w:spacing w:before="240"/>
        <w:ind w:left="446" w:hanging="446"/>
      </w:pPr>
      <w:r>
        <w:t xml:space="preserve">Expected return = </w:t>
      </w:r>
      <w:r w:rsidR="00A14B0E">
        <w:t>16.4</w:t>
      </w:r>
      <w:r w:rsidR="004C18C0" w:rsidRPr="006C30A4">
        <w:t xml:space="preserve">%; </w:t>
      </w:r>
      <w:r w:rsidR="004C18C0" w:rsidRPr="006C30A4">
        <w:rPr>
          <w:lang w:val="el-GR"/>
        </w:rPr>
        <w:t>σ</w:t>
      </w:r>
      <w:r w:rsidR="004C18C0" w:rsidRPr="006C30A4">
        <w:t xml:space="preserve"> </w:t>
      </w:r>
      <w:r w:rsidR="00EC2524">
        <w:t xml:space="preserve">= </w:t>
      </w:r>
      <w:r w:rsidR="00A14B0E">
        <w:t>31.2</w:t>
      </w:r>
      <w:r w:rsidR="004C18C0" w:rsidRPr="006C30A4">
        <w:t xml:space="preserve">%. Doubling your money is a 100% return, so if the return distribution is normal, </w:t>
      </w:r>
      <w:r w:rsidR="0018003E" w:rsidRPr="00344827">
        <w:rPr>
          <w:position w:val="-12"/>
        </w:rPr>
        <w:object w:dxaOrig="3040" w:dyaOrig="360" w14:anchorId="337B02E7">
          <v:shape id="_x0000_i1045" type="#_x0000_t75" alt="upper Z equals left parenthesis 100 minus 16.4 right parenthesis over 31.2 equals 2.68" style="width:152.65pt;height:18.25pt" o:ole="">
            <v:imagedata r:id="rId51" o:title=""/>
          </v:shape>
          <o:OLEObject Type="Embed" ProgID="Equation.DSMT4" ShapeID="_x0000_i1045" DrawAspect="Content" ObjectID="_1745331224" r:id="rId52"/>
        </w:object>
      </w:r>
      <w:r w:rsidR="004C18C0" w:rsidRPr="006C30A4">
        <w:t xml:space="preserve"> standard deviations; this is in-between two and three standard deviations, so the probability is small, somewhere between .5% and 2.5% (why?). Referring to the nearest </w:t>
      </w:r>
      <w:r w:rsidR="004C18C0" w:rsidRPr="006C30A4">
        <w:rPr>
          <w:i/>
        </w:rPr>
        <w:t>Z</w:t>
      </w:r>
      <w:r w:rsidR="004C18C0" w:rsidRPr="006C30A4">
        <w:t xml:space="preserve"> table, the actual probability is = </w:t>
      </w:r>
      <w:r w:rsidR="00A14B0E">
        <w:t>0.369</w:t>
      </w:r>
      <w:r w:rsidR="004C18C0" w:rsidRPr="006C30A4">
        <w:t xml:space="preserve">%, or </w:t>
      </w:r>
      <w:r w:rsidR="00A14B0E">
        <w:t>less than</w:t>
      </w:r>
      <w:r w:rsidR="004C18C0" w:rsidRPr="006C30A4">
        <w:t xml:space="preserve"> every 100 years. Tripling your money would be </w:t>
      </w:r>
      <w:r w:rsidR="0018003E" w:rsidRPr="00344827">
        <w:rPr>
          <w:position w:val="-12"/>
        </w:rPr>
        <w:object w:dxaOrig="3060" w:dyaOrig="360" w14:anchorId="5A3A06E5">
          <v:shape id="_x0000_i1046" type="#_x0000_t75" alt="upper Z equals left parenthesis 200 minus 16.4 right parenthesis over 31.2 equals 5.88" style="width:152.65pt;height:18.25pt" o:ole="">
            <v:imagedata r:id="rId53" o:title=""/>
          </v:shape>
          <o:OLEObject Type="Embed" ProgID="Equation.DSMT4" ShapeID="_x0000_i1046" DrawAspect="Content" ObjectID="_1745331225" r:id="rId54"/>
        </w:object>
      </w:r>
      <w:r w:rsidR="004C18C0" w:rsidRPr="006C30A4">
        <w:t xml:space="preserve"> standard deviations; this corresponds to a pro</w:t>
      </w:r>
      <w:r w:rsidR="00A14B0E">
        <w:t>bability of (much) less than 0.01%</w:t>
      </w:r>
      <w:r w:rsidR="004C18C0" w:rsidRPr="006C30A4">
        <w:t>. (The actual answer is less than once every 1 million years, so don’t hold your breath.)</w:t>
      </w:r>
    </w:p>
    <w:p w14:paraId="39CEBC06" w14:textId="77777777" w:rsidR="004C18C0" w:rsidRDefault="004C18C0" w:rsidP="00365E25">
      <w:pPr>
        <w:pStyle w:val="ListParagraph"/>
        <w:numPr>
          <w:ilvl w:val="0"/>
          <w:numId w:val="5"/>
        </w:numPr>
        <w:spacing w:before="240"/>
        <w:ind w:left="446" w:hanging="446"/>
      </w:pPr>
    </w:p>
    <w:tbl>
      <w:tblPr>
        <w:tblStyle w:val="TableGrid"/>
        <w:tblW w:w="801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 table presents data under the following column headers. Year, Common stocks, T-bill return, and Risk premium.&#10;"/>
      </w:tblPr>
      <w:tblGrid>
        <w:gridCol w:w="1996"/>
        <w:gridCol w:w="2022"/>
        <w:gridCol w:w="1996"/>
        <w:gridCol w:w="1996"/>
      </w:tblGrid>
      <w:tr w:rsidR="00237403" w14:paraId="4BF7CB2D" w14:textId="77777777" w:rsidTr="00B777C5">
        <w:trPr>
          <w:tblHeader/>
        </w:trPr>
        <w:tc>
          <w:tcPr>
            <w:tcW w:w="1996" w:type="dxa"/>
          </w:tcPr>
          <w:p w14:paraId="34188705" w14:textId="2031B108" w:rsidR="00237403" w:rsidRPr="00D31CFF" w:rsidRDefault="00237403" w:rsidP="00C2280B">
            <w:pPr>
              <w:pStyle w:val="TableHeader"/>
              <w:jc w:val="right"/>
              <w:rPr>
                <w:u w:val="single"/>
              </w:rPr>
            </w:pPr>
            <w:r w:rsidRPr="00D31CFF">
              <w:rPr>
                <w:u w:val="single"/>
              </w:rPr>
              <w:t>Year</w:t>
            </w:r>
          </w:p>
        </w:tc>
        <w:tc>
          <w:tcPr>
            <w:tcW w:w="2022" w:type="dxa"/>
          </w:tcPr>
          <w:p w14:paraId="2C00A1CF" w14:textId="52379BD5" w:rsidR="00237403" w:rsidRPr="00D31CFF" w:rsidRDefault="00237403" w:rsidP="00C2280B">
            <w:pPr>
              <w:pStyle w:val="TableHeader"/>
              <w:jc w:val="right"/>
              <w:rPr>
                <w:u w:val="single"/>
              </w:rPr>
            </w:pPr>
            <w:r w:rsidRPr="00D31CFF">
              <w:rPr>
                <w:u w:val="single"/>
              </w:rPr>
              <w:t>Common stocks</w:t>
            </w:r>
          </w:p>
        </w:tc>
        <w:tc>
          <w:tcPr>
            <w:tcW w:w="1996" w:type="dxa"/>
          </w:tcPr>
          <w:p w14:paraId="2F4C579E" w14:textId="108420CC" w:rsidR="00237403" w:rsidRPr="00D31CFF" w:rsidRDefault="00237403" w:rsidP="00C2280B">
            <w:pPr>
              <w:pStyle w:val="TableHeader"/>
              <w:jc w:val="right"/>
              <w:rPr>
                <w:u w:val="single"/>
              </w:rPr>
            </w:pPr>
            <w:r w:rsidRPr="00D31CFF">
              <w:rPr>
                <w:u w:val="single"/>
              </w:rPr>
              <w:t>T-bill return</w:t>
            </w:r>
          </w:p>
        </w:tc>
        <w:tc>
          <w:tcPr>
            <w:tcW w:w="1996" w:type="dxa"/>
          </w:tcPr>
          <w:p w14:paraId="1ECA24F0" w14:textId="2AB8045D" w:rsidR="00237403" w:rsidRPr="00D31CFF" w:rsidRDefault="00237403" w:rsidP="00C2280B">
            <w:pPr>
              <w:pStyle w:val="TableHeader"/>
              <w:jc w:val="right"/>
              <w:rPr>
                <w:u w:val="single"/>
              </w:rPr>
            </w:pPr>
            <w:r w:rsidRPr="00D31CFF">
              <w:rPr>
                <w:u w:val="single"/>
              </w:rPr>
              <w:t>Risk premium</w:t>
            </w:r>
          </w:p>
        </w:tc>
      </w:tr>
      <w:tr w:rsidR="00237403" w14:paraId="1DFDF5C4" w14:textId="77777777" w:rsidTr="00171FD9">
        <w:tc>
          <w:tcPr>
            <w:tcW w:w="1996" w:type="dxa"/>
          </w:tcPr>
          <w:p w14:paraId="7C3A5BD4" w14:textId="0D3B0C1E" w:rsidR="00237403" w:rsidRDefault="00237403" w:rsidP="00C2280B">
            <w:pPr>
              <w:pStyle w:val="TableBody"/>
              <w:jc w:val="right"/>
            </w:pPr>
            <w:r w:rsidRPr="009661A3">
              <w:t>1973</w:t>
            </w:r>
          </w:p>
        </w:tc>
        <w:tc>
          <w:tcPr>
            <w:tcW w:w="2022" w:type="dxa"/>
          </w:tcPr>
          <w:p w14:paraId="65E1D617" w14:textId="755E0FC6" w:rsidR="00237403" w:rsidRDefault="00237403" w:rsidP="00C2280B">
            <w:pPr>
              <w:pStyle w:val="TableBody"/>
              <w:jc w:val="right"/>
            </w:pPr>
            <w:r w:rsidRPr="009661A3">
              <w:t>–14.69%</w:t>
            </w:r>
          </w:p>
        </w:tc>
        <w:tc>
          <w:tcPr>
            <w:tcW w:w="1996" w:type="dxa"/>
          </w:tcPr>
          <w:p w14:paraId="23DF16C9" w14:textId="29B0C2F7" w:rsidR="00237403" w:rsidRDefault="00237403" w:rsidP="00C2280B">
            <w:pPr>
              <w:pStyle w:val="TableBody"/>
              <w:jc w:val="right"/>
            </w:pPr>
            <w:r w:rsidRPr="009661A3">
              <w:t>7.29%</w:t>
            </w:r>
          </w:p>
        </w:tc>
        <w:tc>
          <w:tcPr>
            <w:tcW w:w="1996" w:type="dxa"/>
          </w:tcPr>
          <w:p w14:paraId="4079DC1C" w14:textId="6D18C01F" w:rsidR="00237403" w:rsidRDefault="00237403" w:rsidP="00C2280B">
            <w:pPr>
              <w:pStyle w:val="TableBody"/>
              <w:jc w:val="right"/>
            </w:pPr>
            <w:r w:rsidRPr="009661A3">
              <w:t>–21.98%</w:t>
            </w:r>
          </w:p>
        </w:tc>
      </w:tr>
      <w:tr w:rsidR="00237403" w14:paraId="7CAAEC96" w14:textId="77777777" w:rsidTr="00171FD9">
        <w:tc>
          <w:tcPr>
            <w:tcW w:w="1996" w:type="dxa"/>
          </w:tcPr>
          <w:p w14:paraId="32CA20A5" w14:textId="3813CB61" w:rsidR="00237403" w:rsidRDefault="00237403" w:rsidP="00C2280B">
            <w:pPr>
              <w:pStyle w:val="TableBody"/>
              <w:jc w:val="right"/>
            </w:pPr>
            <w:r w:rsidRPr="009661A3">
              <w:t>1974</w:t>
            </w:r>
          </w:p>
        </w:tc>
        <w:tc>
          <w:tcPr>
            <w:tcW w:w="2022" w:type="dxa"/>
          </w:tcPr>
          <w:p w14:paraId="0F531583" w14:textId="673922E9" w:rsidR="00237403" w:rsidRDefault="00237403" w:rsidP="00C2280B">
            <w:pPr>
              <w:pStyle w:val="TableBody"/>
              <w:jc w:val="right"/>
            </w:pPr>
            <w:r w:rsidRPr="009661A3">
              <w:t>–26.47%</w:t>
            </w:r>
          </w:p>
        </w:tc>
        <w:tc>
          <w:tcPr>
            <w:tcW w:w="1996" w:type="dxa"/>
          </w:tcPr>
          <w:p w14:paraId="016D0594" w14:textId="69A394EC" w:rsidR="00237403" w:rsidRDefault="00237403" w:rsidP="00C2280B">
            <w:pPr>
              <w:pStyle w:val="TableBody"/>
              <w:jc w:val="right"/>
            </w:pPr>
            <w:r w:rsidRPr="009661A3">
              <w:t>7.99%</w:t>
            </w:r>
          </w:p>
        </w:tc>
        <w:tc>
          <w:tcPr>
            <w:tcW w:w="1996" w:type="dxa"/>
          </w:tcPr>
          <w:p w14:paraId="4E7BC114" w14:textId="5B841C9B" w:rsidR="00237403" w:rsidRDefault="00237403" w:rsidP="00C2280B">
            <w:pPr>
              <w:pStyle w:val="TableBody"/>
              <w:jc w:val="right"/>
            </w:pPr>
            <w:r w:rsidRPr="009661A3">
              <w:t>–34.46%</w:t>
            </w:r>
          </w:p>
        </w:tc>
      </w:tr>
      <w:tr w:rsidR="00237403" w14:paraId="011D2658" w14:textId="77777777" w:rsidTr="00171FD9">
        <w:tc>
          <w:tcPr>
            <w:tcW w:w="1996" w:type="dxa"/>
          </w:tcPr>
          <w:p w14:paraId="4443375E" w14:textId="5CB8674E" w:rsidR="00237403" w:rsidRDefault="00237403" w:rsidP="00C2280B">
            <w:pPr>
              <w:pStyle w:val="TableBody"/>
              <w:jc w:val="right"/>
            </w:pPr>
            <w:r w:rsidRPr="009661A3">
              <w:t>1975</w:t>
            </w:r>
          </w:p>
        </w:tc>
        <w:tc>
          <w:tcPr>
            <w:tcW w:w="2022" w:type="dxa"/>
          </w:tcPr>
          <w:p w14:paraId="61AFFB2C" w14:textId="5C470190" w:rsidR="00237403" w:rsidRDefault="00237403" w:rsidP="00C2280B">
            <w:pPr>
              <w:pStyle w:val="TableBody"/>
              <w:jc w:val="right"/>
            </w:pPr>
            <w:r w:rsidRPr="009661A3">
              <w:t>37.23%</w:t>
            </w:r>
          </w:p>
        </w:tc>
        <w:tc>
          <w:tcPr>
            <w:tcW w:w="1996" w:type="dxa"/>
          </w:tcPr>
          <w:p w14:paraId="3743A1A6" w14:textId="663BF3E0" w:rsidR="00237403" w:rsidRDefault="00237403" w:rsidP="00D15AB5">
            <w:pPr>
              <w:pStyle w:val="TableBody"/>
              <w:tabs>
                <w:tab w:val="center" w:pos="890"/>
                <w:tab w:val="right" w:pos="1780"/>
              </w:tabs>
              <w:jc w:val="right"/>
            </w:pPr>
            <w:r w:rsidRPr="009661A3">
              <w:t>5.87%</w:t>
            </w:r>
          </w:p>
        </w:tc>
        <w:tc>
          <w:tcPr>
            <w:tcW w:w="1996" w:type="dxa"/>
          </w:tcPr>
          <w:p w14:paraId="389D2EE7" w14:textId="701EF1A1" w:rsidR="00237403" w:rsidRDefault="00237403" w:rsidP="00C2280B">
            <w:pPr>
              <w:pStyle w:val="TableBody"/>
              <w:jc w:val="right"/>
            </w:pPr>
            <w:r w:rsidRPr="009661A3">
              <w:t>31.36%</w:t>
            </w:r>
          </w:p>
        </w:tc>
      </w:tr>
      <w:tr w:rsidR="00237403" w14:paraId="175F3325" w14:textId="77777777" w:rsidTr="00171FD9">
        <w:tc>
          <w:tcPr>
            <w:tcW w:w="1996" w:type="dxa"/>
          </w:tcPr>
          <w:p w14:paraId="5654A9F3" w14:textId="3B1CD941" w:rsidR="00237403" w:rsidRDefault="00237403" w:rsidP="00C2280B">
            <w:pPr>
              <w:pStyle w:val="TableBody"/>
              <w:jc w:val="right"/>
            </w:pPr>
            <w:r w:rsidRPr="009661A3">
              <w:t>1796</w:t>
            </w:r>
          </w:p>
        </w:tc>
        <w:tc>
          <w:tcPr>
            <w:tcW w:w="2022" w:type="dxa"/>
          </w:tcPr>
          <w:p w14:paraId="0908C106" w14:textId="6AB36017" w:rsidR="00237403" w:rsidRDefault="00237403" w:rsidP="00C2280B">
            <w:pPr>
              <w:pStyle w:val="TableBody"/>
              <w:jc w:val="right"/>
            </w:pPr>
            <w:r w:rsidRPr="009661A3">
              <w:t>23.93%</w:t>
            </w:r>
          </w:p>
        </w:tc>
        <w:tc>
          <w:tcPr>
            <w:tcW w:w="1996" w:type="dxa"/>
          </w:tcPr>
          <w:p w14:paraId="2FE1B7C8" w14:textId="2F42FDCE" w:rsidR="00237403" w:rsidRDefault="00237403" w:rsidP="00C2280B">
            <w:pPr>
              <w:pStyle w:val="TableBody"/>
              <w:jc w:val="right"/>
            </w:pPr>
            <w:r w:rsidRPr="009661A3">
              <w:t>5.07%</w:t>
            </w:r>
          </w:p>
        </w:tc>
        <w:tc>
          <w:tcPr>
            <w:tcW w:w="1996" w:type="dxa"/>
          </w:tcPr>
          <w:p w14:paraId="01543AC4" w14:textId="69771BF0" w:rsidR="00237403" w:rsidRDefault="00237403" w:rsidP="00C2280B">
            <w:pPr>
              <w:pStyle w:val="TableBody"/>
              <w:jc w:val="right"/>
            </w:pPr>
            <w:r w:rsidRPr="009661A3">
              <w:t>18.86%</w:t>
            </w:r>
          </w:p>
        </w:tc>
      </w:tr>
      <w:tr w:rsidR="00237403" w14:paraId="02226F1C" w14:textId="77777777" w:rsidTr="00171FD9">
        <w:tc>
          <w:tcPr>
            <w:tcW w:w="1996" w:type="dxa"/>
          </w:tcPr>
          <w:p w14:paraId="3A39BFED" w14:textId="09F18283" w:rsidR="00237403" w:rsidRDefault="00237403" w:rsidP="00C2280B">
            <w:pPr>
              <w:pStyle w:val="TableBody"/>
              <w:jc w:val="right"/>
            </w:pPr>
            <w:r w:rsidRPr="009661A3">
              <w:t>1977</w:t>
            </w:r>
          </w:p>
        </w:tc>
        <w:tc>
          <w:tcPr>
            <w:tcW w:w="2022" w:type="dxa"/>
          </w:tcPr>
          <w:p w14:paraId="5484AFE4" w14:textId="32F8B2D0" w:rsidR="00237403" w:rsidRDefault="00237403" w:rsidP="00C2280B">
            <w:pPr>
              <w:pStyle w:val="TableBody"/>
              <w:jc w:val="right"/>
            </w:pPr>
            <w:r w:rsidRPr="009661A3">
              <w:rPr>
                <w:u w:val="single"/>
              </w:rPr>
              <w:t>–7.16%</w:t>
            </w:r>
          </w:p>
        </w:tc>
        <w:tc>
          <w:tcPr>
            <w:tcW w:w="1996" w:type="dxa"/>
          </w:tcPr>
          <w:p w14:paraId="015C9653" w14:textId="2AFB3194" w:rsidR="00237403" w:rsidRDefault="00237403" w:rsidP="00C2280B">
            <w:pPr>
              <w:pStyle w:val="TableBody"/>
              <w:jc w:val="right"/>
            </w:pPr>
            <w:r w:rsidRPr="009661A3">
              <w:rPr>
                <w:u w:val="single"/>
              </w:rPr>
              <w:t>5.45%</w:t>
            </w:r>
          </w:p>
        </w:tc>
        <w:tc>
          <w:tcPr>
            <w:tcW w:w="1996" w:type="dxa"/>
          </w:tcPr>
          <w:p w14:paraId="57FF8F1F" w14:textId="450FF7A0" w:rsidR="00237403" w:rsidRDefault="00237403" w:rsidP="00C2280B">
            <w:pPr>
              <w:pStyle w:val="TableBody"/>
              <w:jc w:val="right"/>
            </w:pPr>
            <w:r w:rsidRPr="009661A3">
              <w:rPr>
                <w:u w:val="single"/>
              </w:rPr>
              <w:t>–12.61%</w:t>
            </w:r>
          </w:p>
        </w:tc>
      </w:tr>
      <w:tr w:rsidR="00237403" w14:paraId="410784D1" w14:textId="77777777" w:rsidTr="00171FD9">
        <w:tc>
          <w:tcPr>
            <w:tcW w:w="1996" w:type="dxa"/>
          </w:tcPr>
          <w:p w14:paraId="7E0D31C0" w14:textId="317BF055" w:rsidR="00237403" w:rsidRDefault="00237403" w:rsidP="00C2280B">
            <w:pPr>
              <w:pStyle w:val="TableBody"/>
              <w:jc w:val="right"/>
            </w:pPr>
            <w:r>
              <w:t>sum</w:t>
            </w:r>
          </w:p>
        </w:tc>
        <w:tc>
          <w:tcPr>
            <w:tcW w:w="2022" w:type="dxa"/>
          </w:tcPr>
          <w:p w14:paraId="5B3A95E0" w14:textId="1845AD2B" w:rsidR="00237403" w:rsidRDefault="00237403" w:rsidP="00C2280B">
            <w:pPr>
              <w:pStyle w:val="TableBody"/>
              <w:jc w:val="right"/>
            </w:pPr>
            <w:r w:rsidRPr="009661A3">
              <w:t>12.84%</w:t>
            </w:r>
          </w:p>
        </w:tc>
        <w:tc>
          <w:tcPr>
            <w:tcW w:w="1996" w:type="dxa"/>
          </w:tcPr>
          <w:p w14:paraId="71949E32" w14:textId="1D852B11" w:rsidR="00237403" w:rsidRDefault="00237403" w:rsidP="00C2280B">
            <w:pPr>
              <w:pStyle w:val="TableBody"/>
              <w:jc w:val="right"/>
            </w:pPr>
            <w:r w:rsidRPr="009661A3">
              <w:t>31.67%</w:t>
            </w:r>
          </w:p>
        </w:tc>
        <w:tc>
          <w:tcPr>
            <w:tcW w:w="1996" w:type="dxa"/>
          </w:tcPr>
          <w:p w14:paraId="6D85CC9D" w14:textId="0B4899C7" w:rsidR="00237403" w:rsidRDefault="00237403" w:rsidP="00C2280B">
            <w:pPr>
              <w:pStyle w:val="TableBody"/>
              <w:jc w:val="right"/>
            </w:pPr>
            <w:r w:rsidRPr="009661A3">
              <w:t>–18.83%</w:t>
            </w:r>
          </w:p>
        </w:tc>
      </w:tr>
    </w:tbl>
    <w:p w14:paraId="1C13D608" w14:textId="500BA962" w:rsidR="004C18C0" w:rsidRPr="00CE2197" w:rsidRDefault="004C18C0" w:rsidP="00720AE0">
      <w:pPr>
        <w:pStyle w:val="ListParagraph"/>
        <w:numPr>
          <w:ilvl w:val="0"/>
          <w:numId w:val="8"/>
        </w:numPr>
        <w:spacing w:before="240"/>
        <w:ind w:left="806"/>
      </w:pPr>
      <w:r w:rsidRPr="00CE2197">
        <w:t>Annual risk premium = Common stock return – T-bill return (see table above).</w:t>
      </w:r>
    </w:p>
    <w:p w14:paraId="5B0AE7B1" w14:textId="7A51EDB4" w:rsidR="004C18C0" w:rsidRPr="00CE2197" w:rsidRDefault="0018003E" w:rsidP="00720AE0">
      <w:pPr>
        <w:pStyle w:val="ListParagraph"/>
        <w:numPr>
          <w:ilvl w:val="0"/>
          <w:numId w:val="8"/>
        </w:numPr>
      </w:pPr>
      <w:r w:rsidRPr="00CB4210">
        <w:rPr>
          <w:position w:val="-10"/>
        </w:rPr>
        <w:object w:dxaOrig="10340" w:dyaOrig="320" w14:anchorId="330310F2">
          <v:shape id="_x0000_i1047" type="#_x0000_t75" alt="Average returns: Common stocks 12.84 over 5 equals 0.0257, or 2.57 percent semicolon upper T hyphen bills 31.67 over 5 equals 0.0633, or 6.33 percent" style="width:485.75pt;height:15.35pt" o:ole="">
            <v:imagedata r:id="rId55" o:title=""/>
          </v:shape>
          <o:OLEObject Type="Embed" ProgID="Equation.DSMT4" ShapeID="_x0000_i1047" DrawAspect="Content" ObjectID="_1745331226" r:id="rId56"/>
        </w:object>
      </w:r>
      <w:r w:rsidRPr="00BA73A5">
        <w:rPr>
          <w:position w:val="-10"/>
        </w:rPr>
        <w:object w:dxaOrig="5200" w:dyaOrig="320" w14:anchorId="0208E76D">
          <v:shape id="_x0000_i1048" type="#_x0000_t75" alt="Risk premium negative 18.83 over 5 equals negative 0.0377, or negative 3.77 percent" style="width:260.15pt;height:15.35pt" o:ole="">
            <v:imagedata r:id="rId57" o:title=""/>
          </v:shape>
          <o:OLEObject Type="Embed" ProgID="Equation.DSMT4" ShapeID="_x0000_i1048" DrawAspect="Content" ObjectID="_1745331227" r:id="rId58"/>
        </w:object>
      </w:r>
    </w:p>
    <w:p w14:paraId="35CDE6CE" w14:textId="1C34E94A" w:rsidR="004C18C0" w:rsidRPr="007602FE" w:rsidRDefault="0018003E" w:rsidP="008039E4">
      <w:pPr>
        <w:pStyle w:val="ListParagraph"/>
        <w:numPr>
          <w:ilvl w:val="0"/>
          <w:numId w:val="8"/>
        </w:numPr>
        <w:jc w:val="left"/>
        <w:rPr>
          <w:lang w:val="fr-FR"/>
        </w:rPr>
      </w:pPr>
      <w:r w:rsidRPr="00D30EA1">
        <w:rPr>
          <w:position w:val="-14"/>
        </w:rPr>
        <w:object w:dxaOrig="9240" w:dyaOrig="440" w14:anchorId="7A1B237B">
          <v:shape id="_x0000_i1049" type="#_x0000_t75" alt="Common stocks: Var equals 1 over 4 left-bracket left parenthesis negative 0.1469 minus 0.0257 right parenthesis squared plus left parenthesis negative 0.2647 minus 0.0257 right parenthesis squared plus left parenthesis 0.3723 minus 0.0257 right parenthesis squared plus" style="width:460.8pt;height:22.1pt" o:ole="">
            <v:imagedata r:id="rId59" o:title=""/>
          </v:shape>
          <o:OLEObject Type="Embed" ProgID="Equation.DSMT4" ShapeID="_x0000_i1049" DrawAspect="Content" ObjectID="_1745331228" r:id="rId60"/>
        </w:object>
      </w:r>
      <w:r w:rsidRPr="008039E4">
        <w:rPr>
          <w:position w:val="-14"/>
        </w:rPr>
        <w:object w:dxaOrig="5200" w:dyaOrig="440" w14:anchorId="22FBD13A">
          <v:shape id="_x0000_i1050" type="#_x0000_t75" alt="left parenthesis 0.2393 minus 0.0257 right parenthesis squared plus left parenthesis negative 0.0716 minus 0.0257 right parenthesis squared right-bracket equals 0.072337" style="width:260.15pt;height:22.1pt" o:ole="">
            <v:imagedata r:id="rId61" o:title=""/>
          </v:shape>
          <o:OLEObject Type="Embed" ProgID="Equation.DSMT4" ShapeID="_x0000_i1050" DrawAspect="Content" ObjectID="_1745331229" r:id="rId62"/>
        </w:object>
      </w:r>
    </w:p>
    <w:p w14:paraId="371C4673" w14:textId="0CEFAB38" w:rsidR="004C18C0" w:rsidRPr="007602FE" w:rsidRDefault="0018003E" w:rsidP="00C730B4">
      <w:pPr>
        <w:ind w:left="800"/>
        <w:rPr>
          <w:szCs w:val="22"/>
          <w:lang w:val="fr-FR"/>
        </w:rPr>
      </w:pPr>
      <w:r w:rsidRPr="00FF0B7C">
        <w:rPr>
          <w:position w:val="-14"/>
          <w:szCs w:val="22"/>
          <w:lang w:val="fr-FR"/>
        </w:rPr>
        <w:object w:dxaOrig="5580" w:dyaOrig="440" w14:anchorId="508B582A">
          <v:shape id="_x0000_i1051" type="#_x0000_t75" alt="Standard deviation left parenthesis 0.072337 right parenthesis Superscript 1 over 2 Baseline equals 0.2690, or 26.90 percent" style="width:279.35pt;height:22.1pt" o:ole="">
            <v:imagedata r:id="rId63" o:title=""/>
          </v:shape>
          <o:OLEObject Type="Embed" ProgID="Equation.DSMT4" ShapeID="_x0000_i1051" DrawAspect="Content" ObjectID="_1745331230" r:id="rId64"/>
        </w:object>
      </w:r>
    </w:p>
    <w:p w14:paraId="4C758609" w14:textId="759A07C2" w:rsidR="004C18C0" w:rsidRPr="00CE2197" w:rsidRDefault="0018003E" w:rsidP="00C730B4">
      <w:pPr>
        <w:ind w:left="800"/>
        <w:rPr>
          <w:szCs w:val="22"/>
        </w:rPr>
      </w:pPr>
      <w:r w:rsidRPr="00FB481B">
        <w:rPr>
          <w:position w:val="-20"/>
          <w:szCs w:val="22"/>
          <w:lang w:val="fr-FR"/>
        </w:rPr>
        <w:object w:dxaOrig="12940" w:dyaOrig="520" w14:anchorId="7644A92E">
          <v:shape id="_x0000_i1052" type="#_x0000_t75" alt="upper T hyphen bills: Var 1 over 4 left-bracket left parenthesis 0.0729 minus 0.0633 right parenthesis squared plus left parenthesis 0.0799 minus 0.0633 right parenthesis squared plus left parenthesis 0.0587 minus 0.0633 right parenthesis squared plus left parenthesis 0.0507 minus 0.0633 right parenthesis squared plus left parenthesis 0.0545 minus 0.0633 right parenthesis squared right-bracket equals 0.000156" style="width:568.3pt;height:25.9pt" o:ole="">
            <v:imagedata r:id="rId65" o:title=""/>
          </v:shape>
          <o:OLEObject Type="Embed" ProgID="Equation.DSMT4" ShapeID="_x0000_i1052" DrawAspect="Content" ObjectID="_1745331231" r:id="rId66"/>
        </w:object>
      </w:r>
      <w:r w:rsidRPr="00FB481B">
        <w:rPr>
          <w:position w:val="-14"/>
          <w:szCs w:val="22"/>
          <w:lang w:val="fr-FR"/>
        </w:rPr>
        <w:object w:dxaOrig="5300" w:dyaOrig="440" w14:anchorId="3CF496D7">
          <v:shape id="_x0000_i1053" type="#_x0000_t75" alt="Standard deviation left parenthesis 0.000156 right parenthesis Superscript 1 over 2 Baseline equals 0.0125, or 1.25 percent" style="width:264.95pt;height:22.1pt" o:ole="">
            <v:imagedata r:id="rId67" o:title=""/>
          </v:shape>
          <o:OLEObject Type="Embed" ProgID="Equation.DSMT4" ShapeID="_x0000_i1053" DrawAspect="Content" ObjectID="_1745331232" r:id="rId68"/>
        </w:object>
      </w:r>
    </w:p>
    <w:p w14:paraId="4F1716D4" w14:textId="2F67E027" w:rsidR="004C18C0" w:rsidRDefault="0018003E" w:rsidP="00C730B4">
      <w:pPr>
        <w:ind w:left="800"/>
        <w:rPr>
          <w:szCs w:val="22"/>
        </w:rPr>
      </w:pPr>
      <w:r w:rsidRPr="008C397B">
        <w:rPr>
          <w:position w:val="-14"/>
          <w:szCs w:val="22"/>
        </w:rPr>
        <w:object w:dxaOrig="10020" w:dyaOrig="460" w14:anchorId="20590B5A">
          <v:shape id="_x0000_i1054" type="#_x0000_t75" alt="Risk premium: Var equals 1 over 4 left-bracket left parenthesis negative 0.2198 minus left parenthesis negative 0.0377 right parenthesis right parenthesis squared plus left parenthesis negative 0.3446 minus left parenthesis negative 0.0377 right parenthesis right parenthesis squared plus left parenthesis 0.3136 minus left parenthesis negative 0.0377 right parenthesis right parenthesis squared plus" style="width:501.1pt;height:23.05pt" o:ole="">
            <v:imagedata r:id="rId69" o:title=""/>
          </v:shape>
          <o:OLEObject Type="Embed" ProgID="Equation.DSMT4" ShapeID="_x0000_i1054" DrawAspect="Content" ObjectID="_1745331233" r:id="rId70"/>
        </w:object>
      </w:r>
      <w:r w:rsidRPr="008C397B">
        <w:rPr>
          <w:position w:val="-14"/>
          <w:szCs w:val="22"/>
        </w:rPr>
        <w:object w:dxaOrig="5880" w:dyaOrig="460" w14:anchorId="3DC7C9E3">
          <v:shape id="_x0000_i1055" type="#_x0000_t75" alt="left parenthesis 0.1886 minus left parenthesis negative 0.0377 right parenthesis right parenthesis squared plus left parenthesis negative 0.1261 minus left parenthesis negative 0.0377 right parenthesis right parenthesis squared right-bracket equals 0.077446" style="width:293.75pt;height:23.05pt" o:ole="">
            <v:imagedata r:id="rId71" o:title=""/>
          </v:shape>
          <o:OLEObject Type="Embed" ProgID="Equation.DSMT4" ShapeID="_x0000_i1055" DrawAspect="Content" ObjectID="_1745331234" r:id="rId72"/>
        </w:object>
      </w:r>
    </w:p>
    <w:p w14:paraId="13B76687" w14:textId="158B3E01" w:rsidR="00B46F8D" w:rsidRDefault="0018003E" w:rsidP="006505D8">
      <w:pPr>
        <w:ind w:left="800"/>
        <w:rPr>
          <w:i/>
          <w:szCs w:val="22"/>
        </w:rPr>
      </w:pPr>
      <w:r w:rsidRPr="001A79BA">
        <w:rPr>
          <w:position w:val="-14"/>
          <w:szCs w:val="22"/>
        </w:rPr>
        <w:object w:dxaOrig="5440" w:dyaOrig="440" w14:anchorId="1448BDFC">
          <v:shape id="_x0000_i1056" type="#_x0000_t75" alt="Standard deviation left parenthesis 0.077446 right parenthesis Superscript 1 over 2 Baseline equals 0.2783, or 27.83 percent" style="width:272.65pt;height:22.1pt" o:ole="">
            <v:imagedata r:id="rId73" o:title=""/>
          </v:shape>
          <o:OLEObject Type="Embed" ProgID="Equation.DSMT4" ShapeID="_x0000_i1056" DrawAspect="Content" ObjectID="_1745331235" r:id="rId74"/>
        </w:object>
      </w:r>
      <w:r w:rsidR="004C18C0">
        <w:rPr>
          <w:i/>
          <w:szCs w:val="22"/>
        </w:rPr>
        <w:br w:type="page"/>
      </w:r>
    </w:p>
    <w:p w14:paraId="436255D4" w14:textId="5A6927BB" w:rsidR="004C18C0" w:rsidRPr="00CE2197" w:rsidRDefault="004C18C0" w:rsidP="00063467">
      <w:pPr>
        <w:pStyle w:val="ListParagraph"/>
        <w:numPr>
          <w:ilvl w:val="0"/>
          <w:numId w:val="8"/>
        </w:numPr>
      </w:pPr>
      <w:r w:rsidRPr="00CE2197">
        <w:lastRenderedPageBreak/>
        <w:t xml:space="preserve">Before the fact, </w:t>
      </w:r>
      <w:r w:rsidR="00003A70">
        <w:t xml:space="preserve">for most assets </w:t>
      </w:r>
      <w:r w:rsidRPr="00CE2197">
        <w:t>the risk premium will be positive; investors demand compensation over and above the risk-free return to invest their money in the risky asset. After the fact, the observed risk premium can be negative if the asset’s nominal return is unexpectedly low, the risk-free return is unexpectedly high, or any combination of these two events.</w:t>
      </w:r>
    </w:p>
    <w:p w14:paraId="7642100B" w14:textId="3736B25D" w:rsidR="00C24C40" w:rsidRDefault="0018003E" w:rsidP="002C2225">
      <w:pPr>
        <w:pStyle w:val="ListParagraph"/>
        <w:numPr>
          <w:ilvl w:val="0"/>
          <w:numId w:val="5"/>
        </w:numPr>
        <w:spacing w:before="240"/>
        <w:ind w:left="446" w:hanging="446"/>
        <w:rPr>
          <w:bCs/>
        </w:rPr>
      </w:pPr>
      <w:r w:rsidRPr="00C24C40">
        <w:rPr>
          <w:bCs/>
          <w:position w:val="-14"/>
        </w:rPr>
        <w:object w:dxaOrig="4680" w:dyaOrig="440" w14:anchorId="15862DF9">
          <v:shape id="_x0000_i1057" type="#_x0000_t75" alt="left parenthesis 324000 dollars over 1000 dollars right parenthesis Superscript 1 over 50 Baseline minus 1 equals 0.1226, or 12.26 percent" style="width:234.25pt;height:22.1pt" o:ole="">
            <v:imagedata r:id="rId75" o:title=""/>
          </v:shape>
          <o:OLEObject Type="Embed" ProgID="Equation.DSMT4" ShapeID="_x0000_i1057" DrawAspect="Content" ObjectID="_1745331236" r:id="rId76"/>
        </w:object>
      </w:r>
    </w:p>
    <w:p w14:paraId="057F29BA" w14:textId="49797F38" w:rsidR="004C18C0" w:rsidRPr="00BD5B30" w:rsidRDefault="0018003E" w:rsidP="002C2225">
      <w:pPr>
        <w:pStyle w:val="ListParagraph"/>
        <w:numPr>
          <w:ilvl w:val="0"/>
          <w:numId w:val="5"/>
        </w:numPr>
        <w:spacing w:before="240"/>
        <w:ind w:left="446" w:hanging="446"/>
        <w:rPr>
          <w:bCs/>
        </w:rPr>
      </w:pPr>
      <w:r w:rsidRPr="00C24C40">
        <w:rPr>
          <w:bCs/>
          <w:position w:val="-14"/>
        </w:rPr>
        <w:object w:dxaOrig="4680" w:dyaOrig="440" w14:anchorId="65B8AABE">
          <v:shape id="_x0000_i1058" type="#_x0000_t75" alt="left parenthesis 324000 dollars over 1000 dollars right parenthesis Superscript 1 over 50 Baseline minus 1 equals 0.1226, or 12.26 percent" style="width:234.25pt;height:22.1pt" o:ole="">
            <v:imagedata r:id="rId77" o:title=""/>
          </v:shape>
          <o:OLEObject Type="Embed" ProgID="Equation.DSMT4" ShapeID="_x0000_i1058" DrawAspect="Content" ObjectID="_1745331237" r:id="rId78"/>
        </w:object>
      </w:r>
    </w:p>
    <w:p w14:paraId="5E11F825" w14:textId="23865A99" w:rsidR="004C18C0" w:rsidRPr="003A709F" w:rsidRDefault="0018003E" w:rsidP="00972491">
      <w:pPr>
        <w:pStyle w:val="ListParagraph"/>
        <w:numPr>
          <w:ilvl w:val="0"/>
          <w:numId w:val="5"/>
        </w:numPr>
        <w:tabs>
          <w:tab w:val="clear" w:pos="440"/>
          <w:tab w:val="left" w:pos="450"/>
        </w:tabs>
        <w:spacing w:before="240"/>
        <w:ind w:left="446" w:hanging="446"/>
      </w:pPr>
      <w:r w:rsidRPr="003A709F">
        <w:rPr>
          <w:position w:val="-16"/>
        </w:rPr>
        <w:object w:dxaOrig="9740" w:dyaOrig="440" w14:anchorId="228720DC">
          <v:shape id="_x0000_i1059" type="#_x0000_t75" alt="5 year estimate equals left-bracket left parenthesis 5 minus 1 right parenthesis over left parenthesis 40 minus 1 right parenthesis right-bracket times 10.24 percent plus left-bracket left parenthesis 40 minus 5 right parenthesis over left parenthesis 40 minus 1 right parenthesis right-bracket times 12.60 percent equals 12.36 percent" style="width:486.7pt;height:22.1pt" o:ole="">
            <v:imagedata r:id="rId79" o:title=""/>
          </v:shape>
          <o:OLEObject Type="Embed" ProgID="Equation.DSMT4" ShapeID="_x0000_i1059" DrawAspect="Content" ObjectID="_1745331238" r:id="rId80"/>
        </w:object>
      </w:r>
      <w:r w:rsidRPr="003A709F">
        <w:rPr>
          <w:position w:val="-16"/>
        </w:rPr>
        <w:object w:dxaOrig="9940" w:dyaOrig="440" w14:anchorId="33483AE5">
          <v:shape id="_x0000_i1060" type="#_x0000_t75" alt="10 year estimate equals left-bracket left parenthesis 10 minus 1 right parenthesis over left parenthesis 40 minus 1 right parenthesis right-bracket times 10.24 percent plus left-bracket left parenthesis 40 minus 10 right parenthesis over left parenthesis 40 minus 1 right parenthesis right-bracket times 12.60 percent equals 12.06 percent" style="width:497.3pt;height:22.1pt;mso-position-vertical:absolute" o:ole="">
            <v:imagedata r:id="rId81" o:title=""/>
          </v:shape>
          <o:OLEObject Type="Embed" ProgID="Equation.DSMT4" ShapeID="_x0000_i1060" DrawAspect="Content" ObjectID="_1745331239" r:id="rId82"/>
        </w:object>
      </w:r>
      <w:r w:rsidRPr="003A709F">
        <w:rPr>
          <w:position w:val="-16"/>
        </w:rPr>
        <w:object w:dxaOrig="10020" w:dyaOrig="440" w14:anchorId="40E14C2C">
          <v:shape id="_x0000_i1061" type="#_x0000_t75" alt="20 year estimate equals left-bracket left parenthesis 20 minus 1 right parenthesis over left parenthesis 40 minus 1 right parenthesis right-bracket times 10.24 percent plus left-bracket left parenthesis 40 minus 20 right parenthesis over left parenthesis 40 minus 1 right parenthesis right-bracket times 12.60 percent equals 11.45 percent" style="width:419.5pt;height:22.1pt" o:ole="">
            <v:imagedata r:id="rId83" o:title=""/>
          </v:shape>
          <o:OLEObject Type="Embed" ProgID="Equation.DSMT4" ShapeID="_x0000_i1061" DrawAspect="Content" ObjectID="_1745331240" r:id="rId84"/>
        </w:object>
      </w:r>
    </w:p>
    <w:p w14:paraId="585352A6" w14:textId="520D0707" w:rsidR="004C18C0" w:rsidRPr="00EA2D17" w:rsidRDefault="00AF547B" w:rsidP="002C2225">
      <w:pPr>
        <w:pStyle w:val="ListParagraph"/>
        <w:numPr>
          <w:ilvl w:val="0"/>
          <w:numId w:val="5"/>
        </w:numPr>
        <w:spacing w:before="240"/>
        <w:ind w:left="446" w:hanging="446"/>
        <w:rPr>
          <w:bCs/>
        </w:rPr>
      </w:pPr>
      <w:r w:rsidRPr="00E76BE5">
        <w:rPr>
          <w:position w:val="-14"/>
        </w:rPr>
        <w:object w:dxaOrig="6840" w:dyaOrig="440" w14:anchorId="6D975903">
          <v:shape id="_x0000_i1062" type="#_x0000_t75" alt="Small-company stocks equals left parenthesis 29781.01 dollars over 1 dollar right parenthesis superscript 1 over 93 baseline minus 1 equals 0.1171, or 11.71 percent" style="width:341.75pt;height:22.1pt" o:ole="">
            <v:imagedata r:id="rId85" o:title=""/>
          </v:shape>
          <o:OLEObject Type="Embed" ProgID="Equation.DSMT4" ShapeID="_x0000_i1062" DrawAspect="Content" ObjectID="_1745331241" r:id="rId86"/>
        </w:object>
      </w:r>
    </w:p>
    <w:p w14:paraId="0F969023" w14:textId="4327354D" w:rsidR="004C18C0" w:rsidRPr="00EA2D17" w:rsidRDefault="00AF547B" w:rsidP="00972491">
      <w:pPr>
        <w:tabs>
          <w:tab w:val="left" w:pos="450"/>
        </w:tabs>
        <w:ind w:left="446"/>
        <w:rPr>
          <w:bCs/>
          <w:szCs w:val="22"/>
        </w:rPr>
      </w:pPr>
      <w:r w:rsidRPr="00E76BE5">
        <w:rPr>
          <w:bCs/>
          <w:position w:val="-14"/>
          <w:szCs w:val="22"/>
        </w:rPr>
        <w:object w:dxaOrig="6780" w:dyaOrig="440" w14:anchorId="585EE1E8">
          <v:shape id="_x0000_i1063" type="#_x0000_t75" alt="Large-company stocks equals left parenthesis 6462.39 dollars over 1 dollar right parenthesis superscript 1 over 93 baseline minus 1 equals 0.0989, or 9.89 percent" style="width:338.9pt;height:22.1pt" o:ole="">
            <v:imagedata r:id="rId87" o:title=""/>
          </v:shape>
          <o:OLEObject Type="Embed" ProgID="Equation.DSMT4" ShapeID="_x0000_i1063" DrawAspect="Content" ObjectID="_1745331242" r:id="rId88"/>
        </w:object>
      </w:r>
    </w:p>
    <w:p w14:paraId="1E243C6C" w14:textId="5B89F196" w:rsidR="004C18C0" w:rsidRPr="00EA2D17" w:rsidRDefault="00AF547B" w:rsidP="00972491">
      <w:pPr>
        <w:tabs>
          <w:tab w:val="left" w:pos="450"/>
        </w:tabs>
        <w:ind w:left="446"/>
        <w:rPr>
          <w:bCs/>
          <w:szCs w:val="22"/>
        </w:rPr>
      </w:pPr>
      <w:r w:rsidRPr="003A1B64">
        <w:rPr>
          <w:bCs/>
          <w:position w:val="-14"/>
          <w:szCs w:val="22"/>
        </w:rPr>
        <w:object w:dxaOrig="7260" w:dyaOrig="440" w14:anchorId="03CC02E3">
          <v:shape id="_x0000_i1064" type="#_x0000_t75" alt="Long-term government bonds equals left parenthesis 129.95 dollars over 1 dollar right parenthesis superscript 1 over 93 baseline minus 1 equals 0.0537, or 5.37 percent" style="width:362.9pt;height:22.1pt" o:ole="">
            <v:imagedata r:id="rId89" o:title=""/>
          </v:shape>
          <o:OLEObject Type="Embed" ProgID="Equation.DSMT4" ShapeID="_x0000_i1064" DrawAspect="Content" ObjectID="_1745331243" r:id="rId90"/>
        </w:object>
      </w:r>
    </w:p>
    <w:p w14:paraId="6F2ECD6E" w14:textId="3BC7C151" w:rsidR="004C18C0" w:rsidRPr="00EA2D17" w:rsidRDefault="00AF547B" w:rsidP="00972491">
      <w:pPr>
        <w:tabs>
          <w:tab w:val="left" w:pos="450"/>
        </w:tabs>
        <w:ind w:left="446"/>
        <w:rPr>
          <w:bCs/>
          <w:szCs w:val="22"/>
        </w:rPr>
      </w:pPr>
      <w:r w:rsidRPr="00B327A6">
        <w:rPr>
          <w:bCs/>
          <w:position w:val="-14"/>
          <w:szCs w:val="22"/>
        </w:rPr>
        <w:object w:dxaOrig="5600" w:dyaOrig="440" w14:anchorId="40AEA843">
          <v:shape id="_x0000_i1065" type="#_x0000_t75" alt="Treasury bills left parenthesis 23 dollars.05 over 1 dollars right parenthesis Superscript 1 over 93 Baseline minus 1 equals 0.0343, or 3.43 percent" style="width:279.35pt;height:22.1pt" o:ole="">
            <v:imagedata r:id="rId91" o:title=""/>
          </v:shape>
          <o:OLEObject Type="Embed" ProgID="Equation.DSMT4" ShapeID="_x0000_i1065" DrawAspect="Content" ObjectID="_1745331244" r:id="rId92"/>
        </w:object>
      </w:r>
    </w:p>
    <w:p w14:paraId="718BD8C3" w14:textId="565203AE" w:rsidR="004C18C0" w:rsidRDefault="00AF547B" w:rsidP="00972491">
      <w:pPr>
        <w:tabs>
          <w:tab w:val="left" w:pos="450"/>
        </w:tabs>
        <w:ind w:left="446"/>
        <w:rPr>
          <w:bCs/>
          <w:szCs w:val="22"/>
        </w:rPr>
      </w:pPr>
      <w:r w:rsidRPr="00F7541C">
        <w:rPr>
          <w:bCs/>
          <w:position w:val="-14"/>
          <w:szCs w:val="22"/>
        </w:rPr>
        <w:object w:dxaOrig="5120" w:dyaOrig="440" w14:anchorId="3288E7A6">
          <v:shape id="_x0000_i1066" type="#_x0000_t75" alt="Inflation left parenthesis 14 dollars.03 over 1 dollars right parenthesis Superscript 1 over 90 Baseline minus 1 equals 0.0288, or 2.88 percent" style="width:255.35pt;height:22.1pt" o:ole="">
            <v:imagedata r:id="rId93" o:title=""/>
          </v:shape>
          <o:OLEObject Type="Embed" ProgID="Equation.DSMT4" ShapeID="_x0000_i1066" DrawAspect="Content" ObjectID="_1745331245" r:id="rId94"/>
        </w:object>
      </w:r>
    </w:p>
    <w:p w14:paraId="4ACF485D" w14:textId="61A21221" w:rsidR="004C18C0" w:rsidRPr="00CE2197" w:rsidRDefault="00AF547B" w:rsidP="002C2225">
      <w:pPr>
        <w:pStyle w:val="ListParagraph"/>
        <w:numPr>
          <w:ilvl w:val="0"/>
          <w:numId w:val="5"/>
        </w:numPr>
        <w:spacing w:before="240"/>
        <w:ind w:left="446" w:hanging="446"/>
      </w:pPr>
      <w:r w:rsidRPr="00884293">
        <w:rPr>
          <w:position w:val="-14"/>
        </w:rPr>
        <w:object w:dxaOrig="6200" w:dyaOrig="400" w14:anchorId="06BCF480">
          <v:shape id="_x0000_i1067" type="#_x0000_t75" alt="upper R Subscript upper A Baseline equals left parenthesis negative 0.09 plus 0.17 plus 0.09 plus 0.14 minus 0.04 right parenthesis over 5 equals 0.0540, or 5.40 percent" style="width:310.1pt;height:20.15pt" o:ole="">
            <v:imagedata r:id="rId95" o:title=""/>
          </v:shape>
          <o:OLEObject Type="Embed" ProgID="Equation.DSMT4" ShapeID="_x0000_i1067" DrawAspect="Content" ObjectID="_1745331246" r:id="rId96"/>
        </w:object>
      </w:r>
    </w:p>
    <w:p w14:paraId="1165C932" w14:textId="39E7D4EF" w:rsidR="00E21AB2" w:rsidRDefault="00AF547B" w:rsidP="00972491">
      <w:pPr>
        <w:tabs>
          <w:tab w:val="left" w:pos="450"/>
        </w:tabs>
        <w:ind w:left="446"/>
        <w:rPr>
          <w:szCs w:val="22"/>
        </w:rPr>
      </w:pPr>
      <w:r w:rsidRPr="00884293">
        <w:rPr>
          <w:position w:val="-16"/>
          <w:szCs w:val="22"/>
        </w:rPr>
        <w:object w:dxaOrig="8180" w:dyaOrig="480" w14:anchorId="5D0FE1DD">
          <v:shape id="_x0000_i1068" type="#_x0000_t75" alt="upper R Subscript upper G Baseline equals left-bracket left parenthesis 1 minus 0.09 right parenthesis left parenthesis 1 plus 0.17 right parenthesis left parenthesis 1 plus 0.09 right parenthesis left parenthesis 1 plus 0.14 right parenthesis left parenthesis 1 minus 0.04 right parenthesis right-bracket Superscript 1 over 5 Baseline minus 1 equals 0.0490, or 4.90 percent" style="width:408.95pt;height:24pt" o:ole="">
            <v:imagedata r:id="rId97" o:title=""/>
          </v:shape>
          <o:OLEObject Type="Embed" ProgID="Equation.DSMT4" ShapeID="_x0000_i1068" DrawAspect="Content" ObjectID="_1745331247" r:id="rId98"/>
        </w:object>
      </w:r>
    </w:p>
    <w:p w14:paraId="646C078C" w14:textId="51239140" w:rsidR="004C18C0" w:rsidRDefault="00AF547B" w:rsidP="002C2225">
      <w:pPr>
        <w:pStyle w:val="ListParagraph"/>
        <w:numPr>
          <w:ilvl w:val="0"/>
          <w:numId w:val="5"/>
        </w:numPr>
        <w:spacing w:before="240"/>
        <w:ind w:left="446" w:hanging="446"/>
      </w:pPr>
      <w:r w:rsidRPr="00CB241D">
        <w:rPr>
          <w:position w:val="-14"/>
        </w:rPr>
        <w:object w:dxaOrig="6160" w:dyaOrig="400" w14:anchorId="653500AC">
          <v:shape id="_x0000_i1069" type="#_x0000_t75" alt="upper R subscript 1 equals left parenthesis 15 dollars.61 minus 13 dollars.25 plus  dollars.15 right parenthesis over 13 dollars.25 equals 0.1894, or 18.94 percent" style="width:308.15pt;height:20.15pt" o:ole="">
            <v:imagedata r:id="rId99" o:title=""/>
          </v:shape>
          <o:OLEObject Type="Embed" ProgID="Equation.DSMT4" ShapeID="_x0000_i1069" DrawAspect="Content" ObjectID="_1745331248" r:id="rId100"/>
        </w:object>
      </w:r>
    </w:p>
    <w:p w14:paraId="1F6A762E" w14:textId="7DFFC517" w:rsidR="004C18C0" w:rsidRPr="00CE2197" w:rsidRDefault="00AF547B" w:rsidP="00972491">
      <w:pPr>
        <w:tabs>
          <w:tab w:val="left" w:pos="450"/>
        </w:tabs>
        <w:ind w:left="446"/>
        <w:rPr>
          <w:szCs w:val="22"/>
        </w:rPr>
      </w:pPr>
      <w:r w:rsidRPr="00AE6BFE">
        <w:rPr>
          <w:position w:val="-14"/>
          <w:szCs w:val="22"/>
        </w:rPr>
        <w:object w:dxaOrig="6060" w:dyaOrig="400" w14:anchorId="7C77EC4F">
          <v:shape id="_x0000_i1070" type="#_x0000_t75" alt="upper R subscript 2 equals left parenthesis 16 dollars.72 minus 15 dollars.61 plus  dollars.18 right parenthesis over 15 dollars.61 equals 0.0826, or 8.26 percent" style="width:303.35pt;height:20.15pt" o:ole="">
            <v:imagedata r:id="rId101" o:title=""/>
          </v:shape>
          <o:OLEObject Type="Embed" ProgID="Equation.DSMT4" ShapeID="_x0000_i1070" DrawAspect="Content" ObjectID="_1745331249" r:id="rId102"/>
        </w:object>
      </w:r>
    </w:p>
    <w:p w14:paraId="524480E7" w14:textId="004E69B9" w:rsidR="004C18C0" w:rsidRDefault="00AF547B" w:rsidP="00972491">
      <w:pPr>
        <w:tabs>
          <w:tab w:val="left" w:pos="450"/>
        </w:tabs>
        <w:ind w:left="446"/>
        <w:rPr>
          <w:szCs w:val="22"/>
        </w:rPr>
      </w:pPr>
      <w:r w:rsidRPr="00AE6BFE">
        <w:rPr>
          <w:position w:val="-14"/>
          <w:szCs w:val="22"/>
        </w:rPr>
        <w:object w:dxaOrig="6500" w:dyaOrig="400" w14:anchorId="783F42A7">
          <v:shape id="_x0000_i1071" type="#_x0000_t75" alt="upper R subscript 3 equals left parenthesis 15 dollars.18 minus 16 dollars.72 plus  dollars.20 right parenthesis over 16 dollars.72 equals negative 0.0801, or negative 8.01 percent" style="width:324.5pt;height:20.15pt" o:ole="">
            <v:imagedata r:id="rId103" o:title=""/>
          </v:shape>
          <o:OLEObject Type="Embed" ProgID="Equation.DSMT4" ShapeID="_x0000_i1071" DrawAspect="Content" ObjectID="_1745331250" r:id="rId104"/>
        </w:object>
      </w:r>
    </w:p>
    <w:p w14:paraId="2911EE9E" w14:textId="0EBF6763" w:rsidR="004C18C0" w:rsidRPr="00CE2197" w:rsidRDefault="00AF547B" w:rsidP="00972491">
      <w:pPr>
        <w:tabs>
          <w:tab w:val="left" w:pos="450"/>
        </w:tabs>
        <w:ind w:left="446"/>
        <w:rPr>
          <w:szCs w:val="22"/>
        </w:rPr>
      </w:pPr>
      <w:r w:rsidRPr="00AE6BFE">
        <w:rPr>
          <w:position w:val="-14"/>
          <w:szCs w:val="22"/>
        </w:rPr>
        <w:object w:dxaOrig="6200" w:dyaOrig="400" w14:anchorId="0C1E2B6D">
          <v:shape id="_x0000_i1072" type="#_x0000_t75" alt="upper R subscript 4 equals left parenthesis 17 dollars.12 minus 15 dollars.18 plus  dollars.24 right parenthesis over 15 dollars.18 equals 0.1436, or 14.36 percent" style="width:310.1pt;height:20.15pt" o:ole="">
            <v:imagedata r:id="rId105" o:title=""/>
          </v:shape>
          <o:OLEObject Type="Embed" ProgID="Equation.DSMT4" ShapeID="_x0000_i1072" DrawAspect="Content" ObjectID="_1745331251" r:id="rId106"/>
        </w:object>
      </w:r>
    </w:p>
    <w:p w14:paraId="2FFBEEED" w14:textId="14D9CB2B" w:rsidR="004C18C0" w:rsidRPr="00CE2197" w:rsidRDefault="00AF547B" w:rsidP="00972491">
      <w:pPr>
        <w:tabs>
          <w:tab w:val="left" w:pos="450"/>
        </w:tabs>
        <w:ind w:left="446"/>
        <w:rPr>
          <w:szCs w:val="22"/>
        </w:rPr>
      </w:pPr>
      <w:r w:rsidRPr="000F3E88">
        <w:rPr>
          <w:position w:val="-14"/>
          <w:szCs w:val="22"/>
        </w:rPr>
        <w:object w:dxaOrig="6220" w:dyaOrig="400" w14:anchorId="5685EEB4">
          <v:shape id="_x0000_i1073" type="#_x0000_t75" alt="upper R subscript 5 equals left parenthesis 20 dollars.43 minus 17 dollars.12 plus  dollars.28 right parenthesis over 17 dollars.12 equals 0.2097, or 20.97 percent" style="width:311.05pt;height:20.15pt" o:ole="">
            <v:imagedata r:id="rId107" o:title=""/>
          </v:shape>
          <o:OLEObject Type="Embed" ProgID="Equation.DSMT4" ShapeID="_x0000_i1073" DrawAspect="Content" ObjectID="_1745331252" r:id="rId108"/>
        </w:object>
      </w:r>
    </w:p>
    <w:p w14:paraId="6F09D788" w14:textId="0BAAE25A" w:rsidR="004C18C0" w:rsidRPr="00CE2197" w:rsidRDefault="00AF547B" w:rsidP="00972491">
      <w:pPr>
        <w:tabs>
          <w:tab w:val="left" w:pos="450"/>
        </w:tabs>
        <w:ind w:left="446"/>
        <w:rPr>
          <w:szCs w:val="22"/>
        </w:rPr>
      </w:pPr>
      <w:r w:rsidRPr="0014120E">
        <w:rPr>
          <w:position w:val="-14"/>
          <w:szCs w:val="22"/>
        </w:rPr>
        <w:object w:dxaOrig="7339" w:dyaOrig="400" w14:anchorId="2999A346">
          <v:shape id="_x0000_i1074" type="#_x0000_t75" alt="upper R Subscript upper A Baseline equals left parenthesis 0.1894 plus 0.0826 minus 0.0801 plus 0.1436 plus 0.2097 right parenthesis over 5 equals 0.1090, or 10.90 percent" style="width:366.7pt;height:20.15pt" o:ole="">
            <v:imagedata r:id="rId109" o:title=""/>
          </v:shape>
          <o:OLEObject Type="Embed" ProgID="Equation.DSMT4" ShapeID="_x0000_i1074" DrawAspect="Content" ObjectID="_1745331253" r:id="rId110"/>
        </w:object>
      </w:r>
    </w:p>
    <w:p w14:paraId="344517F1" w14:textId="28485381" w:rsidR="00E21AB2" w:rsidRDefault="00AF547B" w:rsidP="00972491">
      <w:pPr>
        <w:tabs>
          <w:tab w:val="left" w:pos="450"/>
        </w:tabs>
        <w:ind w:left="446"/>
        <w:rPr>
          <w:szCs w:val="22"/>
        </w:rPr>
      </w:pPr>
      <w:r w:rsidRPr="006A0F40">
        <w:rPr>
          <w:position w:val="-16"/>
          <w:szCs w:val="22"/>
        </w:rPr>
        <w:object w:dxaOrig="9460" w:dyaOrig="480" w14:anchorId="33C92D15">
          <v:shape id="_x0000_i1075" type="#_x0000_t75" alt="upper R subscript 0 baseline equals left bracket left parenthesis 1 plus 0.1894 right parenthesis left parenthesis 1 plus 0.826 right parenthesis left parenthesis 1 plus 0.1436 right parenthesis left parenthesis 1 plus 0.2097 right parenthesis right bracket superscript 1 over 5 baseline minus 1 equals 0.1038 or 10.38 percent" style="width:444.5pt;height:24pt" o:ole="">
            <v:imagedata r:id="rId111" o:title=""/>
          </v:shape>
          <o:OLEObject Type="Embed" ProgID="Equation.DSMT4" ShapeID="_x0000_i1075" DrawAspect="Content" ObjectID="_1745331254" r:id="rId112"/>
        </w:object>
      </w:r>
    </w:p>
    <w:p w14:paraId="3C16A8C3" w14:textId="5A1E6F6D" w:rsidR="004C18C0" w:rsidRPr="00CE2197" w:rsidRDefault="00AF547B" w:rsidP="002C2225">
      <w:pPr>
        <w:pStyle w:val="ListParagraph"/>
        <w:numPr>
          <w:ilvl w:val="0"/>
          <w:numId w:val="5"/>
        </w:numPr>
        <w:spacing w:before="240"/>
        <w:ind w:left="446" w:hanging="446"/>
      </w:pPr>
      <w:r w:rsidRPr="00CA582A">
        <w:rPr>
          <w:position w:val="-14"/>
        </w:rPr>
        <w:object w:dxaOrig="6920" w:dyaOrig="400" w14:anchorId="63C1E85C">
          <v:shape id="_x0000_i1076" type="#_x0000_t75" alt="Stock upper A: upper R Subscript upper A Baseline equals left parenthesis 0.08 plus 0.08 plus 0.08 plus 0.08 plus 0.08 right parenthesis over 5 equals 0.0800, or 8.00 percent" style="width:345.6pt;height:20.15pt" o:ole="">
            <v:imagedata r:id="rId113" o:title=""/>
          </v:shape>
          <o:OLEObject Type="Embed" ProgID="Equation.DSMT4" ShapeID="_x0000_i1076" DrawAspect="Content" ObjectID="_1745331255" r:id="rId114"/>
        </w:object>
      </w:r>
    </w:p>
    <w:p w14:paraId="4C551B21" w14:textId="25DE6B6A" w:rsidR="004C18C0" w:rsidRPr="00CE2197" w:rsidRDefault="00AF547B" w:rsidP="00972491">
      <w:pPr>
        <w:tabs>
          <w:tab w:val="left" w:pos="440"/>
        </w:tabs>
        <w:ind w:left="446"/>
        <w:rPr>
          <w:szCs w:val="22"/>
        </w:rPr>
      </w:pPr>
      <w:r w:rsidRPr="00CA582A">
        <w:rPr>
          <w:position w:val="-20"/>
          <w:szCs w:val="22"/>
        </w:rPr>
        <w:object w:dxaOrig="9940" w:dyaOrig="520" w14:anchorId="14D891CB">
          <v:shape id="_x0000_i1077" type="#_x0000_t75" alt="Var 1 over 4 left-bracket left parenthesis 0.08 minus 0.08 right parenthesis squared plus left parenthesis 0.08 minus 0.08 right parenthesis squared plus left parenthesis 0.08 minus 0.08 right parenthesis squared plus left parenthesis 0.08 minus 0.08 right parenthesis squared plus left parenthesis 0.08 minus 0.08 right parenthesis squared right-bracket equals 0.000000" style="width:433.9pt;height:25.9pt" o:ole="">
            <v:imagedata r:id="rId115" o:title=""/>
          </v:shape>
          <o:OLEObject Type="Embed" ProgID="Equation.DSMT4" ShapeID="_x0000_i1077" DrawAspect="Content" ObjectID="_1745331256" r:id="rId116"/>
        </w:object>
      </w:r>
    </w:p>
    <w:p w14:paraId="77FE961B" w14:textId="25E7248B" w:rsidR="004C18C0" w:rsidRPr="00CE2197" w:rsidRDefault="00AF547B" w:rsidP="00972491">
      <w:pPr>
        <w:tabs>
          <w:tab w:val="left" w:pos="440"/>
        </w:tabs>
        <w:ind w:left="446"/>
        <w:rPr>
          <w:szCs w:val="22"/>
        </w:rPr>
      </w:pPr>
      <w:r w:rsidRPr="009F31D4">
        <w:rPr>
          <w:position w:val="-14"/>
          <w:szCs w:val="22"/>
        </w:rPr>
        <w:object w:dxaOrig="4840" w:dyaOrig="440" w14:anchorId="539869E9">
          <v:shape id="_x0000_i1078" type="#_x0000_t75" alt="Standard deviation left parenthesis 0.000 right parenthesis Superscript 1 over 2 Baseline equals 0.000, or 0.00 percent" style="width:241.9pt;height:22.1pt" o:ole="">
            <v:imagedata r:id="rId117" o:title=""/>
          </v:shape>
          <o:OLEObject Type="Embed" ProgID="Equation.DSMT4" ShapeID="_x0000_i1078" DrawAspect="Content" ObjectID="_1745331257" r:id="rId118"/>
        </w:object>
      </w:r>
    </w:p>
    <w:p w14:paraId="70876227" w14:textId="1634A6CD" w:rsidR="009B0812" w:rsidRDefault="00AF547B" w:rsidP="00972491">
      <w:pPr>
        <w:tabs>
          <w:tab w:val="left" w:pos="440"/>
        </w:tabs>
        <w:ind w:left="446"/>
        <w:rPr>
          <w:szCs w:val="22"/>
        </w:rPr>
      </w:pPr>
      <w:r w:rsidRPr="009B0812">
        <w:rPr>
          <w:position w:val="-16"/>
          <w:szCs w:val="22"/>
        </w:rPr>
        <w:object w:dxaOrig="8080" w:dyaOrig="480" w14:anchorId="1A278E59">
          <v:shape id="_x0000_i1079" type="#_x0000_t75" alt="upper R Subscript upper G Baseline equals left-bracket left parenthesis 1 plus 0.08 right parenthesis left parenthesis 1 plus 0.08 right parenthesis left parenthesis 1 plus 0.08 right parenthesis left parenthesis 1 plus 0.08 right parenthesis left parenthesis 1 plus 0.08 right parenthesis right-bracket Superscript 1 over 5 Baseline minus 1 equals 0.0800, or 8.00 percent" style="width:404.15pt;height:24pt" o:ole="">
            <v:imagedata r:id="rId119" o:title=""/>
          </v:shape>
          <o:OLEObject Type="Embed" ProgID="Equation.DSMT4" ShapeID="_x0000_i1079" DrawAspect="Content" ObjectID="_1745331258" r:id="rId120"/>
        </w:object>
      </w:r>
    </w:p>
    <w:p w14:paraId="541304E9" w14:textId="11CDA35E" w:rsidR="004C18C0" w:rsidRPr="00CE2197" w:rsidRDefault="00AF547B" w:rsidP="00972491">
      <w:pPr>
        <w:tabs>
          <w:tab w:val="left" w:pos="440"/>
        </w:tabs>
        <w:spacing w:before="240"/>
        <w:ind w:left="446"/>
        <w:rPr>
          <w:szCs w:val="22"/>
        </w:rPr>
      </w:pPr>
      <w:r w:rsidRPr="00F147D9">
        <w:rPr>
          <w:position w:val="-14"/>
          <w:szCs w:val="22"/>
        </w:rPr>
        <w:object w:dxaOrig="6920" w:dyaOrig="400" w14:anchorId="6266F315">
          <v:shape id="_x0000_i1080" type="#_x0000_t75" alt="Stock upper B: upper R Subscript upper A Baseline equals left parenthesis 0.03 plus 0.13 plus 0.07 plus 0.05 plus 0.12 right parenthesis over 5 equals 0.0800, or 8.00 percent" style="width:345.6pt;height:20.15pt;mso-position-vertical:absolute" o:ole="">
            <v:imagedata r:id="rId121" o:title=""/>
          </v:shape>
          <o:OLEObject Type="Embed" ProgID="Equation.DSMT4" ShapeID="_x0000_i1080" DrawAspect="Content" ObjectID="_1745331259" r:id="rId122"/>
        </w:object>
      </w:r>
    </w:p>
    <w:p w14:paraId="78B04B4A" w14:textId="264251FA" w:rsidR="004C18C0" w:rsidRPr="00CE2197" w:rsidRDefault="00AF547B" w:rsidP="00972491">
      <w:pPr>
        <w:tabs>
          <w:tab w:val="left" w:pos="440"/>
        </w:tabs>
        <w:ind w:left="446"/>
        <w:rPr>
          <w:szCs w:val="22"/>
        </w:rPr>
      </w:pPr>
      <w:r w:rsidRPr="00101301">
        <w:rPr>
          <w:position w:val="-20"/>
          <w:szCs w:val="22"/>
        </w:rPr>
        <w:object w:dxaOrig="9940" w:dyaOrig="520" w14:anchorId="22320E2B">
          <v:shape id="_x0000_i1081" type="#_x0000_t75" alt="Var 1 over 4 left-bracket left parenthesis 0.03 minus 0.08 right parenthesis squared plus left parenthesis 0.13 minus 0.08 right parenthesis squared plus left parenthesis 0.07 minus 0.08 right parenthesis squared plus left parenthesis 0.05 minus 0.08 right parenthesis squared plus left parenthesis 0.12 minus 0.08 right parenthesis squared right-bracket equals 0.001900" style="width:433.9pt;height:25.9pt" o:ole="">
            <v:imagedata r:id="rId123" o:title=""/>
          </v:shape>
          <o:OLEObject Type="Embed" ProgID="Equation.DSMT4" ShapeID="_x0000_i1081" DrawAspect="Content" ObjectID="_1745331260" r:id="rId124"/>
        </w:object>
      </w:r>
    </w:p>
    <w:p w14:paraId="1E453E43" w14:textId="4533CDC9" w:rsidR="004C18C0" w:rsidRPr="00CE2197" w:rsidRDefault="00AF547B" w:rsidP="00972491">
      <w:pPr>
        <w:tabs>
          <w:tab w:val="left" w:pos="440"/>
        </w:tabs>
        <w:ind w:left="446"/>
        <w:rPr>
          <w:szCs w:val="22"/>
        </w:rPr>
      </w:pPr>
      <w:r w:rsidRPr="000349E8">
        <w:rPr>
          <w:position w:val="-14"/>
          <w:szCs w:val="22"/>
        </w:rPr>
        <w:object w:dxaOrig="5319" w:dyaOrig="440" w14:anchorId="3CC4B847">
          <v:shape id="_x0000_i1082" type="#_x0000_t75" alt="Standard deviation left parenthesis 0.001900 right parenthesis Superscript 1 over 2 Baseline equals 0.0436, or 4.36 percent" style="width:265.9pt;height:22.1pt" o:ole="">
            <v:imagedata r:id="rId125" o:title=""/>
          </v:shape>
          <o:OLEObject Type="Embed" ProgID="Equation.DSMT4" ShapeID="_x0000_i1082" DrawAspect="Content" ObjectID="_1745331261" r:id="rId126"/>
        </w:object>
      </w:r>
    </w:p>
    <w:p w14:paraId="617244DD" w14:textId="7D141D58" w:rsidR="004C18C0" w:rsidRPr="00CE2197" w:rsidRDefault="00AF547B" w:rsidP="00847096">
      <w:pPr>
        <w:tabs>
          <w:tab w:val="left" w:pos="440"/>
        </w:tabs>
        <w:ind w:left="446"/>
        <w:rPr>
          <w:szCs w:val="22"/>
        </w:rPr>
      </w:pPr>
      <w:r w:rsidRPr="00D20A33">
        <w:rPr>
          <w:position w:val="-16"/>
          <w:szCs w:val="22"/>
        </w:rPr>
        <w:object w:dxaOrig="8160" w:dyaOrig="480" w14:anchorId="30E33B9C">
          <v:shape id="_x0000_i1083" type="#_x0000_t75" alt="upper R Subscript upper G Baseline equals left-bracket left parenthesis 1 plus 0.03 right parenthesis left parenthesis 1 plus 0.13 right parenthesis left parenthesis 1 plus 0.07 right parenthesis left parenthesis 1 plus 0.05 right parenthesis left parenthesis 1 plus 0.12 right parenthesis right-bracket Superscript 1 over 5 Baseline minus 1 equals 0.0793, or 7.93 percent" style="width:408pt;height:24pt" o:ole="">
            <v:imagedata r:id="rId127" o:title=""/>
          </v:shape>
          <o:OLEObject Type="Embed" ProgID="Equation.DSMT4" ShapeID="_x0000_i1083" DrawAspect="Content" ObjectID="_1745331262" r:id="rId128"/>
        </w:object>
      </w:r>
    </w:p>
    <w:p w14:paraId="6A65E370" w14:textId="080EC21D" w:rsidR="004C18C0" w:rsidRPr="00CE2197" w:rsidRDefault="00AF547B" w:rsidP="00DE7C60">
      <w:pPr>
        <w:tabs>
          <w:tab w:val="left" w:pos="440"/>
        </w:tabs>
        <w:spacing w:before="240"/>
        <w:ind w:left="446"/>
        <w:rPr>
          <w:szCs w:val="22"/>
        </w:rPr>
      </w:pPr>
      <w:r w:rsidRPr="008463E0">
        <w:rPr>
          <w:position w:val="-14"/>
          <w:szCs w:val="22"/>
        </w:rPr>
        <w:object w:dxaOrig="7040" w:dyaOrig="400" w14:anchorId="7466778F">
          <v:shape id="_x0000_i1084" type="#_x0000_t75" alt="Stock upper C: upper R Subscript upper A Baseline equals left parenthesis negative 0.24 plus 0.37 plus 0.14 plus 0.09 plus 0.04 right parenthesis over 5 equals 0.0800. or 8.00 percent" style="width:351.35pt;height:20.15pt" o:ole="">
            <v:imagedata r:id="rId129" o:title=""/>
          </v:shape>
          <o:OLEObject Type="Embed" ProgID="Equation.DSMT4" ShapeID="_x0000_i1084" DrawAspect="Content" ObjectID="_1745331263" r:id="rId130"/>
        </w:object>
      </w:r>
    </w:p>
    <w:p w14:paraId="7F556A5C" w14:textId="1F492E06" w:rsidR="004C18C0" w:rsidRPr="00CE2197" w:rsidRDefault="00AF547B" w:rsidP="00DE7C60">
      <w:pPr>
        <w:tabs>
          <w:tab w:val="left" w:pos="440"/>
        </w:tabs>
        <w:ind w:left="446"/>
        <w:rPr>
          <w:szCs w:val="22"/>
        </w:rPr>
      </w:pPr>
      <w:r w:rsidRPr="0038058C">
        <w:rPr>
          <w:position w:val="-20"/>
          <w:szCs w:val="22"/>
        </w:rPr>
        <w:object w:dxaOrig="10100" w:dyaOrig="520" w14:anchorId="1F58CB0A">
          <v:shape id="_x0000_i1085" type="#_x0000_t75" alt="Var 1 over 4 left-bracket left parenthesis negative 0.24 minus 0.08 right parenthesis squared plus left parenthesis 0.37 minus 0.08 right parenthesis squared plus left parenthesis 0.14 minus 0.08 right parenthesis squared plus left parenthesis 0.09 minus 0.08 right parenthesis squared plus left parenthesis 0.04 minus 0.08 right parenthesis squared right-bracket equals 0.047950" style="width:504.95pt;height:25.9pt" o:ole="">
            <v:imagedata r:id="rId131" o:title=""/>
          </v:shape>
          <o:OLEObject Type="Embed" ProgID="Equation.DSMT4" ShapeID="_x0000_i1085" DrawAspect="Content" ObjectID="_1745331264" r:id="rId132"/>
        </w:object>
      </w:r>
      <w:r w:rsidRPr="00272312">
        <w:rPr>
          <w:position w:val="-14"/>
          <w:szCs w:val="22"/>
        </w:rPr>
        <w:object w:dxaOrig="5440" w:dyaOrig="440" w14:anchorId="27333159">
          <v:shape id="_x0000_i1086" type="#_x0000_t75" alt="Standard deviation left parenthesis 0.047950 right parenthesis Superscript 1 over 2 Baseline equals 0.2190, or 21.90 percent" style="width:272.65pt;height:22.1pt" o:ole="">
            <v:imagedata r:id="rId133" o:title=""/>
          </v:shape>
          <o:OLEObject Type="Embed" ProgID="Equation.DSMT4" ShapeID="_x0000_i1086" DrawAspect="Content" ObjectID="_1745331265" r:id="rId134"/>
        </w:object>
      </w:r>
    </w:p>
    <w:p w14:paraId="0ADE4C14" w14:textId="4C7B57A1" w:rsidR="004C18C0" w:rsidRPr="00CE2197" w:rsidRDefault="00AF547B" w:rsidP="00DE7C60">
      <w:pPr>
        <w:tabs>
          <w:tab w:val="left" w:pos="440"/>
        </w:tabs>
        <w:ind w:left="446"/>
        <w:rPr>
          <w:szCs w:val="22"/>
        </w:rPr>
      </w:pPr>
      <w:r w:rsidRPr="008B3CD1">
        <w:rPr>
          <w:position w:val="-16"/>
          <w:szCs w:val="22"/>
        </w:rPr>
        <w:object w:dxaOrig="8180" w:dyaOrig="480" w14:anchorId="52ACD3A9">
          <v:shape id="_x0000_i1087" type="#_x0000_t75" alt="upper R Subscript upper G Baseline equals left-bracket left parenthesis 1 minus 0.24 right parenthesis left parenthesis 1 plus 0.37 right parenthesis left parenthesis 1 plus 0.14 right parenthesis left parenthesis 1 plus 0.09 right parenthesis left parenthesis 1 plus 0.04 right parenthesis right-bracket Superscript 1 over 5 Baseline minus 1 equals 0.0612, or 6.12 percent" style="width:408.95pt;height:24pt" o:ole="">
            <v:imagedata r:id="rId135" o:title=""/>
          </v:shape>
          <o:OLEObject Type="Embed" ProgID="Equation.DSMT4" ShapeID="_x0000_i1087" DrawAspect="Content" ObjectID="_1745331266" r:id="rId136"/>
        </w:object>
      </w:r>
    </w:p>
    <w:p w14:paraId="76CC4C5C" w14:textId="361214C5" w:rsidR="00E21AB2" w:rsidRDefault="004C18C0" w:rsidP="00DE7C60">
      <w:pPr>
        <w:tabs>
          <w:tab w:val="left" w:pos="450"/>
        </w:tabs>
        <w:spacing w:before="240"/>
        <w:ind w:left="446"/>
        <w:rPr>
          <w:szCs w:val="22"/>
        </w:rPr>
      </w:pPr>
      <w:r w:rsidRPr="00CE2197">
        <w:rPr>
          <w:szCs w:val="22"/>
        </w:rPr>
        <w:t>The larger the standard deviation, the greater will be the difference between the arithmetic return and geometric return. In fact, for lognormally distributed returns, another formula to find the geometric return is</w:t>
      </w:r>
      <w:r w:rsidR="00CE7C96">
        <w:rPr>
          <w:szCs w:val="22"/>
        </w:rPr>
        <w:t>:</w:t>
      </w:r>
      <w:r w:rsidRPr="00CE2197">
        <w:rPr>
          <w:szCs w:val="22"/>
        </w:rPr>
        <w:t xml:space="preserve"> arithmetic return </w:t>
      </w:r>
      <w:r w:rsidR="00AF547B" w:rsidRPr="00C86630">
        <w:rPr>
          <w:position w:val="-6"/>
          <w:szCs w:val="22"/>
        </w:rPr>
        <w:object w:dxaOrig="400" w:dyaOrig="260" w14:anchorId="306FAF14">
          <v:shape id="_x0000_i1088" type="#_x0000_t75" alt="negative 1 over 2" style="width:20.15pt;height:12.5pt" o:ole="">
            <v:imagedata r:id="rId137" o:title=""/>
          </v:shape>
          <o:OLEObject Type="Embed" ProgID="Equation.DSMT4" ShapeID="_x0000_i1088" DrawAspect="Content" ObjectID="_1745331267" r:id="rId138"/>
        </w:object>
      </w:r>
      <w:r w:rsidRPr="00CE2197">
        <w:rPr>
          <w:szCs w:val="22"/>
        </w:rPr>
        <w:t xml:space="preserve"> variance. T</w:t>
      </w:r>
      <w:r>
        <w:rPr>
          <w:szCs w:val="22"/>
        </w:rPr>
        <w:t>herefore, for Stock C, we get</w:t>
      </w:r>
      <w:r w:rsidR="00C86630">
        <w:rPr>
          <w:szCs w:val="22"/>
        </w:rPr>
        <w:t xml:space="preserve"> </w:t>
      </w:r>
      <w:r w:rsidR="00AF547B" w:rsidRPr="00C86630">
        <w:rPr>
          <w:position w:val="-12"/>
          <w:szCs w:val="22"/>
        </w:rPr>
        <w:object w:dxaOrig="2560" w:dyaOrig="360" w14:anchorId="0A56BE91">
          <v:shape id="_x0000_i1089" type="#_x0000_t75" alt="0.0800 minus 1 over 2 left parenthesis 0.047950 right parenthesis equals 0.0560." style="width:128.65pt;height:18.25pt" o:ole="">
            <v:imagedata r:id="rId139" o:title=""/>
          </v:shape>
          <o:OLEObject Type="Embed" ProgID="Equation.DSMT4" ShapeID="_x0000_i1089" DrawAspect="Content" ObjectID="_1745331268" r:id="rId140"/>
        </w:object>
      </w:r>
      <w:r w:rsidRPr="00CE2197">
        <w:rPr>
          <w:szCs w:val="22"/>
        </w:rPr>
        <w:t xml:space="preserve"> </w:t>
      </w:r>
      <w:proofErr w:type="gramStart"/>
      <w:r w:rsidRPr="00CE2197">
        <w:rPr>
          <w:szCs w:val="22"/>
        </w:rPr>
        <w:t>The</w:t>
      </w:r>
      <w:proofErr w:type="gramEnd"/>
      <w:r w:rsidRPr="00CE2197">
        <w:rPr>
          <w:szCs w:val="22"/>
        </w:rPr>
        <w:t xml:space="preserve"> difference in this case is because the return sample is not a true lognormal distribution.</w:t>
      </w:r>
    </w:p>
    <w:p w14:paraId="464170C4" w14:textId="59B45922" w:rsidR="008E445F" w:rsidRDefault="004C18C0" w:rsidP="004C18C0">
      <w:pPr>
        <w:keepLines/>
        <w:tabs>
          <w:tab w:val="left" w:pos="-1440"/>
          <w:tab w:val="left" w:pos="450"/>
        </w:tabs>
        <w:rPr>
          <w:i/>
          <w:szCs w:val="22"/>
          <w:u w:val="single"/>
        </w:rPr>
      </w:pPr>
      <w:r>
        <w:rPr>
          <w:i/>
          <w:szCs w:val="22"/>
          <w:u w:val="single"/>
        </w:rPr>
        <w:br w:type="page"/>
      </w:r>
    </w:p>
    <w:p w14:paraId="5F4EC8BD" w14:textId="578FF28F" w:rsidR="004C18C0" w:rsidRPr="008E174F" w:rsidRDefault="004C18C0" w:rsidP="002D2E9E">
      <w:pPr>
        <w:pStyle w:val="Heading2"/>
      </w:pPr>
      <w:r>
        <w:lastRenderedPageBreak/>
        <w:t>Spreadsheet Problems</w:t>
      </w:r>
    </w:p>
    <w:p w14:paraId="4DFD2EB4" w14:textId="77777777" w:rsidR="004C18C0" w:rsidRDefault="004C18C0" w:rsidP="00805494">
      <w:pPr>
        <w:spacing w:before="240"/>
      </w:pPr>
      <w:r>
        <w:rPr>
          <w:noProof/>
          <w:lang w:val="en-IN" w:eastAsia="zh-CN"/>
        </w:rPr>
        <w:drawing>
          <wp:inline distT="0" distB="0" distL="0" distR="0" wp14:anchorId="21EEAC77" wp14:editId="4D0C645C">
            <wp:extent cx="5924550" cy="3981450"/>
            <wp:effectExtent l="0" t="0" r="0" b="0"/>
            <wp:docPr id="1" name="Picture 1" descr="A spreadsheet titled, chapter 1, question 22. The spreadsheet shows a table corresponding to the header, input area. The column headers of the table read time, deposit, and return. A textbox below shows the following data. Arithmetic average, Geometric Average, Ending Portfolio Average, and Dollar Weighted Aver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ter 01 Problem 21"/>
                    <pic:cNvPicPr>
                      <a:picLocks noChangeAspect="1" noChangeArrowheads="1"/>
                    </pic:cNvPicPr>
                  </pic:nvPicPr>
                  <pic:blipFill>
                    <a:blip r:embed="rId141" cstate="print"/>
                    <a:srcRect/>
                    <a:stretch>
                      <a:fillRect/>
                    </a:stretch>
                  </pic:blipFill>
                  <pic:spPr bwMode="auto">
                    <a:xfrm>
                      <a:off x="0" y="0"/>
                      <a:ext cx="5924550" cy="3981450"/>
                    </a:xfrm>
                    <a:prstGeom prst="rect">
                      <a:avLst/>
                    </a:prstGeom>
                    <a:noFill/>
                    <a:ln w="9525">
                      <a:noFill/>
                      <a:miter lim="800000"/>
                      <a:headEnd/>
                      <a:tailEnd/>
                    </a:ln>
                  </pic:spPr>
                </pic:pic>
              </a:graphicData>
            </a:graphic>
          </wp:inline>
        </w:drawing>
      </w:r>
    </w:p>
    <w:p w14:paraId="00F3F275" w14:textId="77777777" w:rsidR="004C18C0" w:rsidRDefault="00B72C8D" w:rsidP="004C18C0">
      <w:r>
        <w:rPr>
          <w:noProof/>
          <w:lang w:val="en-IN" w:eastAsia="zh-CN"/>
        </w:rPr>
        <w:lastRenderedPageBreak/>
        <w:drawing>
          <wp:inline distT="0" distB="0" distL="0" distR="0" wp14:anchorId="2BCA7A2D" wp14:editId="27E9DDE3">
            <wp:extent cx="5943600" cy="5474553"/>
            <wp:effectExtent l="0" t="0" r="0" b="0"/>
            <wp:docPr id="3" name="Picture 3" descr="A spreadsheet titled, chapter 1, question 21. The spreadsheet shows a table corresponding to the header, input area. The column headers of the table read, year and return. The box below shows average return, variance, and standard devi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dolvin\AppData\Local\Temp\scl1.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5943600" cy="5474553"/>
                    </a:xfrm>
                    <a:prstGeom prst="rect">
                      <a:avLst/>
                    </a:prstGeom>
                    <a:noFill/>
                    <a:ln w="9525">
                      <a:noFill/>
                      <a:miter lim="800000"/>
                      <a:headEnd/>
                      <a:tailEnd/>
                    </a:ln>
                  </pic:spPr>
                </pic:pic>
              </a:graphicData>
            </a:graphic>
          </wp:inline>
        </w:drawing>
      </w:r>
    </w:p>
    <w:p w14:paraId="32E98C9D" w14:textId="77777777" w:rsidR="004C18C0" w:rsidRDefault="004C18C0" w:rsidP="00805494">
      <w:pPr>
        <w:pStyle w:val="Heading2"/>
        <w:spacing w:before="1200"/>
      </w:pPr>
      <w:r>
        <w:t xml:space="preserve">CFA Exam Review by </w:t>
      </w:r>
      <w:proofErr w:type="spellStart"/>
      <w:r>
        <w:t>Schweser</w:t>
      </w:r>
      <w:proofErr w:type="spellEnd"/>
    </w:p>
    <w:p w14:paraId="32F681DF" w14:textId="77777777" w:rsidR="004C18C0" w:rsidRDefault="004C18C0" w:rsidP="00A1594E">
      <w:pPr>
        <w:pStyle w:val="ListParagraph"/>
        <w:numPr>
          <w:ilvl w:val="0"/>
          <w:numId w:val="9"/>
        </w:numPr>
        <w:spacing w:before="240"/>
        <w:ind w:left="720"/>
      </w:pPr>
      <w:r>
        <w:t>a</w:t>
      </w:r>
    </w:p>
    <w:p w14:paraId="1A0A4C4A" w14:textId="4B00A668" w:rsidR="004C18C0" w:rsidRDefault="00AF547B" w:rsidP="0033492B">
      <w:pPr>
        <w:spacing w:before="240"/>
        <w:ind w:left="720"/>
      </w:pPr>
      <w:r w:rsidRPr="001F1799">
        <w:rPr>
          <w:position w:val="-16"/>
        </w:rPr>
        <w:object w:dxaOrig="8240" w:dyaOrig="480" w14:anchorId="521967EB">
          <v:shape id="_x0000_i1090" type="#_x0000_t75" alt="Geometric average return equals left bracket left parenthesis 0.9 right parenthesis left parenthesis 1.25 right parenthesis left parenthesis 0.95 right parenthesis left parenthesis 1.30 right parenthesis left parenthesis 1.05 right parenthesis right bracket superscript 1 over 5 baseline minus 1 equals 0.0785, or 7.85 percent" style="width:411.85pt;height:24pt" o:ole="">
            <v:imagedata r:id="rId143" o:title=""/>
          </v:shape>
          <o:OLEObject Type="Embed" ProgID="Equation.DSMT4" ShapeID="_x0000_i1090" DrawAspect="Content" ObjectID="_1745331269" r:id="rId144"/>
        </w:object>
      </w:r>
    </w:p>
    <w:p w14:paraId="7E9B2678" w14:textId="10C9156F" w:rsidR="004C18C0" w:rsidRDefault="004C18C0" w:rsidP="00EE64E6">
      <w:pPr>
        <w:pStyle w:val="ListParagraph"/>
        <w:numPr>
          <w:ilvl w:val="0"/>
          <w:numId w:val="9"/>
        </w:numPr>
        <w:spacing w:before="240"/>
        <w:ind w:left="720"/>
      </w:pPr>
      <w:r>
        <w:t>b</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 table presents data under the following column headers. Scenario 2 and scenario 3. The row headers read C F subscript 0 and C F subscript 1.&#10;"/>
      </w:tblPr>
      <w:tblGrid>
        <w:gridCol w:w="1260"/>
        <w:gridCol w:w="1440"/>
        <w:gridCol w:w="1710"/>
      </w:tblGrid>
      <w:tr w:rsidR="00F42FE9" w14:paraId="3CC3ADDE" w14:textId="77777777" w:rsidTr="00B777C5">
        <w:trPr>
          <w:tblHeader/>
        </w:trPr>
        <w:tc>
          <w:tcPr>
            <w:tcW w:w="1260" w:type="dxa"/>
          </w:tcPr>
          <w:p w14:paraId="08677989" w14:textId="77777777" w:rsidR="00F42FE9" w:rsidRDefault="00F42FE9" w:rsidP="001D43A2">
            <w:pPr>
              <w:pStyle w:val="TableHeader"/>
            </w:pPr>
          </w:p>
        </w:tc>
        <w:tc>
          <w:tcPr>
            <w:tcW w:w="1440" w:type="dxa"/>
          </w:tcPr>
          <w:p w14:paraId="04AE2A68" w14:textId="5EFB9A5B" w:rsidR="00F42FE9" w:rsidRDefault="002E5255" w:rsidP="00DE6457">
            <w:pPr>
              <w:pStyle w:val="TableHeader"/>
              <w:jc w:val="center"/>
            </w:pPr>
            <w:r>
              <w:t>Scenario 2</w:t>
            </w:r>
          </w:p>
        </w:tc>
        <w:tc>
          <w:tcPr>
            <w:tcW w:w="1710" w:type="dxa"/>
          </w:tcPr>
          <w:p w14:paraId="289D7CA6" w14:textId="1C2A2672" w:rsidR="00F42FE9" w:rsidRDefault="002E5255" w:rsidP="00DE6457">
            <w:pPr>
              <w:pStyle w:val="TableHeader"/>
              <w:jc w:val="center"/>
            </w:pPr>
            <w:r>
              <w:t>Scenario 3</w:t>
            </w:r>
          </w:p>
        </w:tc>
      </w:tr>
      <w:tr w:rsidR="00F42FE9" w14:paraId="6C716259" w14:textId="77777777" w:rsidTr="003A4796">
        <w:tc>
          <w:tcPr>
            <w:tcW w:w="1260" w:type="dxa"/>
          </w:tcPr>
          <w:p w14:paraId="39F1F504" w14:textId="62CD07E9" w:rsidR="00F42FE9" w:rsidRDefault="00AF547B" w:rsidP="003D1F48">
            <w:pPr>
              <w:pStyle w:val="TableBody"/>
            </w:pPr>
            <w:r w:rsidRPr="003D1F48">
              <w:rPr>
                <w:position w:val="-12"/>
              </w:rPr>
              <w:object w:dxaOrig="420" w:dyaOrig="360" w14:anchorId="72FCAEDB">
                <v:shape id="_x0000_i1091" type="#_x0000_t75" alt="upper C upper F subscript 0" style="width:21.1pt;height:18.25pt" o:ole="">
                  <v:imagedata r:id="rId145" o:title=""/>
                </v:shape>
                <o:OLEObject Type="Embed" ProgID="Equation.DSMT4" ShapeID="_x0000_i1091" DrawAspect="Content" ObjectID="_1745331270" r:id="rId146"/>
              </w:object>
            </w:r>
          </w:p>
        </w:tc>
        <w:tc>
          <w:tcPr>
            <w:tcW w:w="1440" w:type="dxa"/>
          </w:tcPr>
          <w:p w14:paraId="12516C5A" w14:textId="571A219A" w:rsidR="00F42FE9" w:rsidRDefault="002E5255" w:rsidP="00DE6457">
            <w:pPr>
              <w:pStyle w:val="TableBody"/>
              <w:jc w:val="center"/>
            </w:pPr>
            <w:r>
              <w:t>−100</w:t>
            </w:r>
          </w:p>
        </w:tc>
        <w:tc>
          <w:tcPr>
            <w:tcW w:w="1710" w:type="dxa"/>
          </w:tcPr>
          <w:p w14:paraId="58B680A0" w14:textId="0D180F89" w:rsidR="00F42FE9" w:rsidRDefault="002E5255" w:rsidP="00DE6457">
            <w:pPr>
              <w:pStyle w:val="TableBody"/>
              <w:jc w:val="center"/>
            </w:pPr>
            <w:r>
              <w:t>−100</w:t>
            </w:r>
          </w:p>
        </w:tc>
      </w:tr>
      <w:tr w:rsidR="00F42FE9" w14:paraId="5CA3C332" w14:textId="77777777" w:rsidTr="003A4796">
        <w:tc>
          <w:tcPr>
            <w:tcW w:w="1260" w:type="dxa"/>
          </w:tcPr>
          <w:p w14:paraId="54D6E392" w14:textId="1B7AF7AB" w:rsidR="00F42FE9" w:rsidRDefault="00AF547B" w:rsidP="003D1F48">
            <w:pPr>
              <w:pStyle w:val="TableBody"/>
            </w:pPr>
            <w:r w:rsidRPr="003D1F48">
              <w:rPr>
                <w:position w:val="-12"/>
              </w:rPr>
              <w:object w:dxaOrig="380" w:dyaOrig="360" w14:anchorId="0D47EDD0">
                <v:shape id="_x0000_i1092" type="#_x0000_t75" alt="upper C upper F subscript 1" style="width:19.2pt;height:18.25pt" o:ole="">
                  <v:imagedata r:id="rId147" o:title=""/>
                </v:shape>
                <o:OLEObject Type="Embed" ProgID="Equation.DSMT4" ShapeID="_x0000_i1092" DrawAspect="Content" ObjectID="_1745331271" r:id="rId148"/>
              </w:object>
            </w:r>
          </w:p>
        </w:tc>
        <w:tc>
          <w:tcPr>
            <w:tcW w:w="1440" w:type="dxa"/>
          </w:tcPr>
          <w:p w14:paraId="52E53FD0" w14:textId="75466794" w:rsidR="00F42FE9" w:rsidRDefault="002E5255" w:rsidP="00DE6457">
            <w:pPr>
              <w:pStyle w:val="TableBody"/>
              <w:jc w:val="center"/>
            </w:pPr>
            <w:r>
              <w:t>0</w:t>
            </w:r>
          </w:p>
        </w:tc>
        <w:tc>
          <w:tcPr>
            <w:tcW w:w="1710" w:type="dxa"/>
          </w:tcPr>
          <w:p w14:paraId="3FCDFE5B" w14:textId="290097D9" w:rsidR="00F42FE9" w:rsidRDefault="002E5255" w:rsidP="00DE6457">
            <w:pPr>
              <w:pStyle w:val="TableBody"/>
              <w:jc w:val="center"/>
            </w:pPr>
            <w:r>
              <w:t>0</w:t>
            </w:r>
          </w:p>
        </w:tc>
      </w:tr>
      <w:tr w:rsidR="00F42FE9" w14:paraId="1FB453F3" w14:textId="77777777" w:rsidTr="003A4796">
        <w:tc>
          <w:tcPr>
            <w:tcW w:w="1260" w:type="dxa"/>
          </w:tcPr>
          <w:p w14:paraId="118442B6" w14:textId="50542444" w:rsidR="00F42FE9" w:rsidRDefault="00AF547B" w:rsidP="003D1F48">
            <w:pPr>
              <w:pStyle w:val="TableBody"/>
            </w:pPr>
            <w:r w:rsidRPr="003D1F48">
              <w:rPr>
                <w:position w:val="-12"/>
              </w:rPr>
              <w:object w:dxaOrig="420" w:dyaOrig="360" w14:anchorId="61248020">
                <v:shape id="_x0000_i1093" type="#_x0000_t75" alt="upper C upper F subscript 2" style="width:21.1pt;height:18.25pt" o:ole="">
                  <v:imagedata r:id="rId149" o:title=""/>
                </v:shape>
                <o:OLEObject Type="Embed" ProgID="Equation.DSMT4" ShapeID="_x0000_i1093" DrawAspect="Content" ObjectID="_1745331272" r:id="rId150"/>
              </w:object>
            </w:r>
          </w:p>
        </w:tc>
        <w:tc>
          <w:tcPr>
            <w:tcW w:w="1440" w:type="dxa"/>
          </w:tcPr>
          <w:p w14:paraId="1A000906" w14:textId="7AFAB3B5" w:rsidR="00F42FE9" w:rsidRDefault="002E5255" w:rsidP="00DE6457">
            <w:pPr>
              <w:pStyle w:val="TableBody"/>
              <w:jc w:val="center"/>
            </w:pPr>
            <w:r>
              <w:t>−20</w:t>
            </w:r>
          </w:p>
        </w:tc>
        <w:tc>
          <w:tcPr>
            <w:tcW w:w="1710" w:type="dxa"/>
          </w:tcPr>
          <w:p w14:paraId="0E66FAE8" w14:textId="4E0964E4" w:rsidR="00F42FE9" w:rsidRDefault="002E5255" w:rsidP="00DE6457">
            <w:pPr>
              <w:pStyle w:val="TableBody"/>
              <w:jc w:val="center"/>
            </w:pPr>
            <w:r>
              <w:t>+10</w:t>
            </w:r>
          </w:p>
        </w:tc>
      </w:tr>
      <w:tr w:rsidR="00F42FE9" w14:paraId="5AE3FE43" w14:textId="77777777" w:rsidTr="003A4796">
        <w:tc>
          <w:tcPr>
            <w:tcW w:w="1260" w:type="dxa"/>
          </w:tcPr>
          <w:p w14:paraId="6405578F" w14:textId="2DED7016" w:rsidR="00F42FE9" w:rsidRDefault="00AF547B" w:rsidP="003D1F48">
            <w:pPr>
              <w:pStyle w:val="TableBody"/>
            </w:pPr>
            <w:r w:rsidRPr="003D1F48">
              <w:rPr>
                <w:position w:val="-12"/>
              </w:rPr>
              <w:object w:dxaOrig="400" w:dyaOrig="360" w14:anchorId="59BFCB77">
                <v:shape id="_x0000_i1094" type="#_x0000_t75" alt="upper C upper F subscript 3" style="width:20.15pt;height:18.25pt" o:ole="">
                  <v:imagedata r:id="rId151" o:title=""/>
                </v:shape>
                <o:OLEObject Type="Embed" ProgID="Equation.DSMT4" ShapeID="_x0000_i1094" DrawAspect="Content" ObjectID="_1745331273" r:id="rId152"/>
              </w:object>
            </w:r>
          </w:p>
        </w:tc>
        <w:tc>
          <w:tcPr>
            <w:tcW w:w="1440" w:type="dxa"/>
          </w:tcPr>
          <w:p w14:paraId="3BFCF153" w14:textId="49E8A7CF" w:rsidR="00F42FE9" w:rsidRDefault="002E5255" w:rsidP="00DE6457">
            <w:pPr>
              <w:pStyle w:val="TableBody"/>
              <w:jc w:val="center"/>
            </w:pPr>
            <w:r>
              <w:t>0</w:t>
            </w:r>
          </w:p>
        </w:tc>
        <w:tc>
          <w:tcPr>
            <w:tcW w:w="1710" w:type="dxa"/>
          </w:tcPr>
          <w:p w14:paraId="71C2D7F6" w14:textId="7D7A7F8B" w:rsidR="00F42FE9" w:rsidRDefault="002E5255" w:rsidP="00DE6457">
            <w:pPr>
              <w:pStyle w:val="TableBody"/>
              <w:jc w:val="center"/>
            </w:pPr>
            <w:r>
              <w:t>0</w:t>
            </w:r>
          </w:p>
        </w:tc>
      </w:tr>
      <w:tr w:rsidR="00F42FE9" w14:paraId="13C13C25" w14:textId="77777777" w:rsidTr="003A4796">
        <w:tc>
          <w:tcPr>
            <w:tcW w:w="1260" w:type="dxa"/>
          </w:tcPr>
          <w:p w14:paraId="779E40F4" w14:textId="59D7D9D7" w:rsidR="00F42FE9" w:rsidRDefault="00AF547B" w:rsidP="003D1F48">
            <w:pPr>
              <w:pStyle w:val="TableBody"/>
            </w:pPr>
            <w:r w:rsidRPr="003D1F48">
              <w:rPr>
                <w:position w:val="-12"/>
              </w:rPr>
              <w:object w:dxaOrig="420" w:dyaOrig="360" w14:anchorId="4630D13D">
                <v:shape id="_x0000_i1095" type="#_x0000_t75" alt="upper C upper F subscript 4" style="width:21.1pt;height:18.25pt;mso-position-vertical:absolute" o:ole="">
                  <v:imagedata r:id="rId153" o:title=""/>
                </v:shape>
                <o:OLEObject Type="Embed" ProgID="Equation.DSMT4" ShapeID="_x0000_i1095" DrawAspect="Content" ObjectID="_1745331274" r:id="rId154"/>
              </w:object>
            </w:r>
          </w:p>
        </w:tc>
        <w:tc>
          <w:tcPr>
            <w:tcW w:w="1440" w:type="dxa"/>
          </w:tcPr>
          <w:p w14:paraId="0D2ED112" w14:textId="75EBE168" w:rsidR="00F42FE9" w:rsidRDefault="002E5255" w:rsidP="00DE6457">
            <w:pPr>
              <w:pStyle w:val="TableBody"/>
              <w:jc w:val="center"/>
            </w:pPr>
            <w:r>
              <w:t>0</w:t>
            </w:r>
          </w:p>
        </w:tc>
        <w:tc>
          <w:tcPr>
            <w:tcW w:w="1710" w:type="dxa"/>
          </w:tcPr>
          <w:p w14:paraId="58175FC0" w14:textId="75333F33" w:rsidR="00F42FE9" w:rsidRDefault="002E5255" w:rsidP="00DE6457">
            <w:pPr>
              <w:pStyle w:val="TableBody"/>
              <w:jc w:val="center"/>
            </w:pPr>
            <w:r>
              <w:t>0</w:t>
            </w:r>
          </w:p>
        </w:tc>
      </w:tr>
      <w:tr w:rsidR="00F42FE9" w14:paraId="108B2DCE" w14:textId="77777777" w:rsidTr="003A4796">
        <w:trPr>
          <w:trHeight w:val="567"/>
        </w:trPr>
        <w:tc>
          <w:tcPr>
            <w:tcW w:w="1260" w:type="dxa"/>
          </w:tcPr>
          <w:p w14:paraId="772D006D" w14:textId="1DCE6233" w:rsidR="00F42FE9" w:rsidRDefault="00AF547B" w:rsidP="003D1F48">
            <w:pPr>
              <w:pStyle w:val="TableBody"/>
            </w:pPr>
            <w:r w:rsidRPr="003D1F48">
              <w:rPr>
                <w:position w:val="-12"/>
              </w:rPr>
              <w:object w:dxaOrig="400" w:dyaOrig="360" w14:anchorId="563A835D">
                <v:shape id="_x0000_i1096" type="#_x0000_t75" alt="upper C upper F subscript 5" style="width:20.15pt;height:18.25pt" o:ole="">
                  <v:imagedata r:id="rId155" o:title=""/>
                </v:shape>
                <o:OLEObject Type="Embed" ProgID="Equation.DSMT4" ShapeID="_x0000_i1096" DrawAspect="Content" ObjectID="_1745331275" r:id="rId156"/>
              </w:object>
            </w:r>
          </w:p>
        </w:tc>
        <w:tc>
          <w:tcPr>
            <w:tcW w:w="1440" w:type="dxa"/>
          </w:tcPr>
          <w:p w14:paraId="14763D27" w14:textId="764D4EC0" w:rsidR="00F42FE9" w:rsidRDefault="002E5255" w:rsidP="00DE6457">
            <w:pPr>
              <w:pStyle w:val="TableBody"/>
              <w:jc w:val="center"/>
            </w:pPr>
            <w:r w:rsidRPr="00FA660B">
              <w:t>171.82</w:t>
            </w:r>
          </w:p>
        </w:tc>
        <w:tc>
          <w:tcPr>
            <w:tcW w:w="1710" w:type="dxa"/>
          </w:tcPr>
          <w:p w14:paraId="1714B5B2" w14:textId="1FD2B43A" w:rsidR="00F42FE9" w:rsidRDefault="002E5255" w:rsidP="00DE6457">
            <w:pPr>
              <w:pStyle w:val="TableBody"/>
              <w:jc w:val="center"/>
            </w:pPr>
            <w:r>
              <w:t>132.92</w:t>
            </w:r>
          </w:p>
        </w:tc>
      </w:tr>
      <w:tr w:rsidR="00F42FE9" w14:paraId="12EE0674" w14:textId="77777777" w:rsidTr="003A4796">
        <w:tc>
          <w:tcPr>
            <w:tcW w:w="1260" w:type="dxa"/>
          </w:tcPr>
          <w:p w14:paraId="4668FDE5" w14:textId="1B6E8CDD" w:rsidR="00F42FE9" w:rsidRDefault="002E5255" w:rsidP="001D43A2">
            <w:pPr>
              <w:pStyle w:val="TableBody"/>
            </w:pPr>
            <w:r>
              <w:t>IRR</w:t>
            </w:r>
          </w:p>
        </w:tc>
        <w:tc>
          <w:tcPr>
            <w:tcW w:w="1440" w:type="dxa"/>
          </w:tcPr>
          <w:p w14:paraId="44E10DA9" w14:textId="3AAA064E" w:rsidR="00F42FE9" w:rsidRDefault="002E5255" w:rsidP="00DE6457">
            <w:pPr>
              <w:pStyle w:val="TableBody"/>
              <w:jc w:val="center"/>
            </w:pPr>
            <w:r>
              <w:t>7.96%</w:t>
            </w:r>
          </w:p>
        </w:tc>
        <w:tc>
          <w:tcPr>
            <w:tcW w:w="1710" w:type="dxa"/>
          </w:tcPr>
          <w:p w14:paraId="08D5F393" w14:textId="22BD638D" w:rsidR="00F42FE9" w:rsidRDefault="002E5255" w:rsidP="00DE6457">
            <w:pPr>
              <w:pStyle w:val="TableBody"/>
              <w:jc w:val="center"/>
            </w:pPr>
            <w:r>
              <w:t>7.78%</w:t>
            </w:r>
          </w:p>
        </w:tc>
      </w:tr>
    </w:tbl>
    <w:p w14:paraId="6BAB408F" w14:textId="77777777" w:rsidR="004C18C0" w:rsidRDefault="004C18C0" w:rsidP="00063D66">
      <w:pPr>
        <w:spacing w:before="240"/>
        <w:ind w:left="720"/>
      </w:pPr>
      <w:r>
        <w:t>Scenario 2 Ending MV</w:t>
      </w:r>
    </w:p>
    <w:p w14:paraId="23D8A683" w14:textId="736ABEBE" w:rsidR="004C18C0" w:rsidRDefault="00CE7C96" w:rsidP="00261BD0">
      <w:pPr>
        <w:ind w:left="1440"/>
      </w:pPr>
      <w:r>
        <w:t>End of Year 2 = 100(</w:t>
      </w:r>
      <w:r w:rsidR="004C18C0">
        <w:t>.9</w:t>
      </w:r>
      <w:proofErr w:type="gramStart"/>
      <w:r w:rsidR="004C18C0">
        <w:t>)(</w:t>
      </w:r>
      <w:proofErr w:type="gramEnd"/>
      <w:r w:rsidR="004C18C0">
        <w:t>1.25) + 20 = 132.5</w:t>
      </w:r>
    </w:p>
    <w:p w14:paraId="4978AD1B" w14:textId="603D42A2" w:rsidR="004C18C0" w:rsidRDefault="00CE7C96" w:rsidP="00261BD0">
      <w:pPr>
        <w:ind w:left="1440"/>
      </w:pPr>
      <w:r>
        <w:t>End of Year 5 =</w:t>
      </w:r>
      <w:r w:rsidR="00E21AB2">
        <w:t xml:space="preserve"> </w:t>
      </w:r>
      <w:r>
        <w:t>132.5(</w:t>
      </w:r>
      <w:r w:rsidR="004C18C0">
        <w:t>.95</w:t>
      </w:r>
      <w:proofErr w:type="gramStart"/>
      <w:r w:rsidR="004C18C0">
        <w:t>)(</w:t>
      </w:r>
      <w:proofErr w:type="gramEnd"/>
      <w:r w:rsidR="004C18C0">
        <w:t>1.30)(1.05) = 171.8194</w:t>
      </w:r>
    </w:p>
    <w:p w14:paraId="4D7A8F92" w14:textId="5A1E4499" w:rsidR="004C18C0" w:rsidRDefault="004C18C0" w:rsidP="00063D66">
      <w:pPr>
        <w:spacing w:before="240"/>
        <w:ind w:left="720"/>
      </w:pPr>
      <w:r>
        <w:t>Scenario 3 Ending MV</w:t>
      </w:r>
    </w:p>
    <w:p w14:paraId="71E2AE1A" w14:textId="0D39CAD3" w:rsidR="004C18C0" w:rsidRDefault="00CE7C96" w:rsidP="00261BD0">
      <w:pPr>
        <w:ind w:left="1440"/>
      </w:pPr>
      <w:r>
        <w:t>End of Year 2 = 100(</w:t>
      </w:r>
      <w:r w:rsidR="004C18C0">
        <w:t>.9</w:t>
      </w:r>
      <w:proofErr w:type="gramStart"/>
      <w:r w:rsidR="004C18C0">
        <w:t>)(</w:t>
      </w:r>
      <w:proofErr w:type="gramEnd"/>
      <w:r w:rsidR="004C18C0">
        <w:t xml:space="preserve">1.25) </w:t>
      </w:r>
      <w:r w:rsidR="00494528">
        <w:t>−</w:t>
      </w:r>
      <w:r w:rsidR="004C18C0">
        <w:t xml:space="preserve"> 10 = 102.5</w:t>
      </w:r>
    </w:p>
    <w:p w14:paraId="203E0206" w14:textId="0680D893" w:rsidR="004C18C0" w:rsidRDefault="00CE7C96" w:rsidP="00261BD0">
      <w:pPr>
        <w:ind w:left="1440"/>
      </w:pPr>
      <w:r>
        <w:t>End of Year 5 =</w:t>
      </w:r>
      <w:r w:rsidR="00E21AB2">
        <w:t xml:space="preserve"> </w:t>
      </w:r>
      <w:r>
        <w:t>102.5(</w:t>
      </w:r>
      <w:r w:rsidR="004C18C0">
        <w:t>.95</w:t>
      </w:r>
      <w:proofErr w:type="gramStart"/>
      <w:r w:rsidR="004C18C0">
        <w:t>)(</w:t>
      </w:r>
      <w:proofErr w:type="gramEnd"/>
      <w:r w:rsidR="004C18C0">
        <w:t>1.30)(1.05) = 132.9169</w:t>
      </w:r>
    </w:p>
    <w:p w14:paraId="0DCD397A" w14:textId="77777777" w:rsidR="004C18C0" w:rsidRDefault="004C18C0" w:rsidP="00EE64E6">
      <w:pPr>
        <w:pStyle w:val="ListParagraph"/>
        <w:numPr>
          <w:ilvl w:val="0"/>
          <w:numId w:val="9"/>
        </w:numPr>
        <w:spacing w:before="240"/>
        <w:ind w:left="720"/>
      </w:pPr>
      <w:r>
        <w:t>c</w:t>
      </w:r>
    </w:p>
    <w:p w14:paraId="7055433A" w14:textId="38ED4651" w:rsidR="004C18C0" w:rsidRPr="00FA660B" w:rsidRDefault="00AF547B" w:rsidP="00063D66">
      <w:pPr>
        <w:spacing w:before="240"/>
        <w:ind w:left="720"/>
      </w:pPr>
      <w:r w:rsidRPr="0003661E">
        <w:rPr>
          <w:position w:val="-14"/>
        </w:rPr>
        <w:object w:dxaOrig="5880" w:dyaOrig="440" w14:anchorId="74546AF8">
          <v:shape id="_x0000_i1097" type="#_x0000_t75" alt="Annualized return left parenthesis 1.0163 right parenthesis Superscript 12 Baseline minus 1 equals 0.21412, or 21.412 percent" style="width:293.75pt;height:22.1pt" o:ole="">
            <v:imagedata r:id="rId157" o:title=""/>
          </v:shape>
          <o:OLEObject Type="Embed" ProgID="Equation.DSMT4" ShapeID="_x0000_i1097" DrawAspect="Content" ObjectID="_1745331276" r:id="rId158"/>
        </w:object>
      </w:r>
    </w:p>
    <w:p w14:paraId="4846299D" w14:textId="77777777" w:rsidR="004C18C0" w:rsidRDefault="004C18C0" w:rsidP="00EE64E6">
      <w:pPr>
        <w:pStyle w:val="ListParagraph"/>
        <w:numPr>
          <w:ilvl w:val="0"/>
          <w:numId w:val="9"/>
        </w:numPr>
        <w:spacing w:before="240"/>
        <w:ind w:left="720"/>
      </w:pPr>
      <w:r>
        <w:t>b</w:t>
      </w:r>
    </w:p>
    <w:p w14:paraId="005F4FC9" w14:textId="0077E493" w:rsidR="004C18C0" w:rsidRDefault="004C18C0" w:rsidP="00063D66">
      <w:pPr>
        <w:spacing w:before="240"/>
        <w:ind w:left="720"/>
      </w:pPr>
      <w:r>
        <w:t>Geometric returns provide the best estimate of a portfolio manager’s return because it neutralizes the impact of the client’s cash flow decisions. For the clients themselves, the dollar</w:t>
      </w:r>
      <w:r w:rsidR="00732910">
        <w:t>-</w:t>
      </w:r>
      <w:r>
        <w:t>weighted return would be appropriate.</w:t>
      </w:r>
    </w:p>
    <w:sectPr w:rsidR="004C18C0" w:rsidSect="00152D85">
      <w:headerReference w:type="even" r:id="rId159"/>
      <w:headerReference w:type="default" r:id="rId160"/>
      <w:footerReference w:type="even" r:id="rId161"/>
      <w:footerReference w:type="default" r:id="rId162"/>
      <w:headerReference w:type="first" r:id="rId163"/>
      <w:footerReference w:type="first" r:id="rId1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D326D" w14:textId="77777777" w:rsidR="00150617" w:rsidRDefault="00150617" w:rsidP="00A1040A">
      <w:r>
        <w:separator/>
      </w:r>
    </w:p>
    <w:p w14:paraId="085425BE" w14:textId="77777777" w:rsidR="00150617" w:rsidRDefault="00150617"/>
  </w:endnote>
  <w:endnote w:type="continuationSeparator" w:id="0">
    <w:p w14:paraId="58964967" w14:textId="77777777" w:rsidR="00150617" w:rsidRDefault="00150617" w:rsidP="00A1040A">
      <w:r>
        <w:continuationSeparator/>
      </w:r>
    </w:p>
    <w:p w14:paraId="188ACD19" w14:textId="77777777" w:rsidR="00150617" w:rsidRDefault="00150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603B5" w14:textId="77777777" w:rsidR="0070377D" w:rsidRDefault="007037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323318"/>
      <w:docPartObj>
        <w:docPartGallery w:val="Page Numbers (Bottom of Page)"/>
        <w:docPartUnique/>
      </w:docPartObj>
    </w:sdtPr>
    <w:sdtEndPr>
      <w:rPr>
        <w:noProof/>
      </w:rPr>
    </w:sdtEndPr>
    <w:sdtContent>
      <w:p w14:paraId="4C1AEED4" w14:textId="0F3C3496" w:rsidR="00A1040A" w:rsidRDefault="00A1040A">
        <w:pPr>
          <w:jc w:val="center"/>
        </w:pPr>
        <w:r>
          <w:fldChar w:fldCharType="begin"/>
        </w:r>
        <w:r>
          <w:instrText xml:space="preserve"> PAGE   \* MERGEFORMAT </w:instrText>
        </w:r>
        <w:r>
          <w:fldChar w:fldCharType="separate"/>
        </w:r>
        <w:r w:rsidR="007913DB">
          <w:rPr>
            <w:noProof/>
          </w:rPr>
          <w:t>2</w:t>
        </w:r>
        <w:r>
          <w:rPr>
            <w:noProof/>
          </w:rPr>
          <w:fldChar w:fldCharType="end"/>
        </w:r>
      </w:p>
    </w:sdtContent>
  </w:sdt>
  <w:p w14:paraId="74B77FF1" w14:textId="3E4675BA" w:rsidR="00A1040A" w:rsidRPr="00A1040A" w:rsidRDefault="00A1040A" w:rsidP="00A1040A">
    <w:pPr>
      <w:rPr>
        <w:color w:val="595959" w:themeColor="text1" w:themeTint="A6"/>
        <w:sz w:val="18"/>
        <w:szCs w:val="18"/>
      </w:rPr>
    </w:pPr>
    <w:r w:rsidRPr="006F3228">
      <w:rPr>
        <w:color w:val="595959" w:themeColor="text1" w:themeTint="A6"/>
        <w:sz w:val="16"/>
        <w:szCs w:val="16"/>
      </w:rPr>
      <w:t>© MCGRAW HILL LLC. ALL RIGHTS RESERVED. NO REPRODUCTION OR DISTRIBUTION WITHOUT THE PRIOR WRITTEN CONSENT OF MCGRAW HILL LLC</w:t>
    </w:r>
    <w:r>
      <w:rPr>
        <w:color w:val="595959" w:themeColor="text1" w:themeTint="A6"/>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D9FFC" w14:textId="77777777" w:rsidR="0070377D" w:rsidRDefault="007037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24C74" w14:textId="77777777" w:rsidR="00150617" w:rsidRDefault="00150617" w:rsidP="00A1040A">
      <w:r>
        <w:separator/>
      </w:r>
    </w:p>
    <w:p w14:paraId="7E1BD74D" w14:textId="77777777" w:rsidR="00150617" w:rsidRDefault="00150617"/>
  </w:footnote>
  <w:footnote w:type="continuationSeparator" w:id="0">
    <w:p w14:paraId="12F0B703" w14:textId="77777777" w:rsidR="00150617" w:rsidRDefault="00150617" w:rsidP="00A1040A">
      <w:r>
        <w:continuationSeparator/>
      </w:r>
    </w:p>
    <w:p w14:paraId="37A9998D" w14:textId="77777777" w:rsidR="00150617" w:rsidRDefault="001506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73231" w14:textId="77777777" w:rsidR="0070377D" w:rsidRDefault="007037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85E6A" w14:textId="77777777" w:rsidR="0070377D" w:rsidRDefault="007037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E447B" w14:textId="77777777" w:rsidR="0070377D" w:rsidRDefault="007037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00"/>
    <w:lvl w:ilvl="0">
      <w:start w:val="1"/>
      <w:numFmt w:val="decimal"/>
      <w:lvlText w:val="%1."/>
      <w:lvlJc w:val="left"/>
      <w:pPr>
        <w:tabs>
          <w:tab w:val="num" w:pos="720"/>
        </w:tabs>
        <w:ind w:left="720" w:hanging="720"/>
      </w:pPr>
      <w:rPr>
        <w:rFonts w:cs="Times New Roman"/>
        <w:b/>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6E0751A"/>
    <w:multiLevelType w:val="hybridMultilevel"/>
    <w:tmpl w:val="3F46D042"/>
    <w:lvl w:ilvl="0" w:tplc="C73CE2B0">
      <w:start w:val="1"/>
      <w:numFmt w:val="decimal"/>
      <w:lvlText w:val="%1."/>
      <w:lvlJc w:val="left"/>
      <w:pPr>
        <w:ind w:left="795"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A6812"/>
    <w:multiLevelType w:val="hybridMultilevel"/>
    <w:tmpl w:val="F1D410BC"/>
    <w:lvl w:ilvl="0" w:tplc="C4C44046">
      <w:start w:val="1"/>
      <w:numFmt w:val="lowerLetter"/>
      <w:lvlText w:val="%1."/>
      <w:lvlJc w:val="left"/>
      <w:pPr>
        <w:ind w:left="800" w:hanging="360"/>
      </w:pPr>
      <w:rPr>
        <w:rFonts w:hint="default"/>
        <w:b w:val="0"/>
        <w:i/>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3" w15:restartNumberingAfterBreak="0">
    <w:nsid w:val="17250E51"/>
    <w:multiLevelType w:val="hybridMultilevel"/>
    <w:tmpl w:val="F1D410BC"/>
    <w:lvl w:ilvl="0" w:tplc="C4C44046">
      <w:start w:val="1"/>
      <w:numFmt w:val="lowerLetter"/>
      <w:lvlText w:val="%1."/>
      <w:lvlJc w:val="left"/>
      <w:pPr>
        <w:ind w:left="800" w:hanging="360"/>
      </w:pPr>
      <w:rPr>
        <w:rFonts w:hint="default"/>
        <w:b w:val="0"/>
        <w:i/>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4" w15:restartNumberingAfterBreak="0">
    <w:nsid w:val="2CD52066"/>
    <w:multiLevelType w:val="hybridMultilevel"/>
    <w:tmpl w:val="5E2E6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248F9"/>
    <w:multiLevelType w:val="hybridMultilevel"/>
    <w:tmpl w:val="110ECC58"/>
    <w:lvl w:ilvl="0" w:tplc="4456ECCC">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BC43C3"/>
    <w:multiLevelType w:val="hybridMultilevel"/>
    <w:tmpl w:val="8CC27D36"/>
    <w:lvl w:ilvl="0" w:tplc="E9BA0B1C">
      <w:start w:val="1"/>
      <w:numFmt w:val="decimal"/>
      <w:lvlText w:val="%1."/>
      <w:lvlJc w:val="left"/>
      <w:pPr>
        <w:ind w:left="800" w:hanging="360"/>
      </w:pPr>
      <w:rPr>
        <w:rFonts w:hint="default"/>
        <w:b w:val="0"/>
        <w:i w:val="0"/>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7" w15:restartNumberingAfterBreak="0">
    <w:nsid w:val="664B28FB"/>
    <w:multiLevelType w:val="hybridMultilevel"/>
    <w:tmpl w:val="20B892F4"/>
    <w:lvl w:ilvl="0" w:tplc="73340F2A">
      <w:start w:val="1"/>
      <w:numFmt w:val="lowerLetter"/>
      <w:lvlText w:val="%1."/>
      <w:lvlJc w:val="left"/>
      <w:pPr>
        <w:ind w:left="795" w:hanging="43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CC00B3"/>
    <w:multiLevelType w:val="hybridMultilevel"/>
    <w:tmpl w:val="110ECC58"/>
    <w:lvl w:ilvl="0" w:tplc="4456ECCC">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5"/>
      <w:lvl w:ilvl="0">
        <w:start w:val="5"/>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4"/>
  </w:num>
  <w:num w:numId="3">
    <w:abstractNumId w:val="8"/>
  </w:num>
  <w:num w:numId="4">
    <w:abstractNumId w:val="1"/>
  </w:num>
  <w:num w:numId="5">
    <w:abstractNumId w:val="5"/>
  </w:num>
  <w:num w:numId="6">
    <w:abstractNumId w:val="3"/>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8C0"/>
    <w:rsid w:val="00003A70"/>
    <w:rsid w:val="00027D62"/>
    <w:rsid w:val="000349E8"/>
    <w:rsid w:val="0003661E"/>
    <w:rsid w:val="000574EA"/>
    <w:rsid w:val="00063467"/>
    <w:rsid w:val="00063D66"/>
    <w:rsid w:val="00095F57"/>
    <w:rsid w:val="000A2FD4"/>
    <w:rsid w:val="000A74A1"/>
    <w:rsid w:val="000C1B8F"/>
    <w:rsid w:val="000D2EBB"/>
    <w:rsid w:val="000D7CB1"/>
    <w:rsid w:val="000F0C03"/>
    <w:rsid w:val="000F3E88"/>
    <w:rsid w:val="000F70A5"/>
    <w:rsid w:val="00101301"/>
    <w:rsid w:val="0010560D"/>
    <w:rsid w:val="00117571"/>
    <w:rsid w:val="0013522B"/>
    <w:rsid w:val="0014120E"/>
    <w:rsid w:val="00146B41"/>
    <w:rsid w:val="00150617"/>
    <w:rsid w:val="00152D85"/>
    <w:rsid w:val="00160443"/>
    <w:rsid w:val="00163801"/>
    <w:rsid w:val="00171FD9"/>
    <w:rsid w:val="00176E90"/>
    <w:rsid w:val="0018003E"/>
    <w:rsid w:val="00186875"/>
    <w:rsid w:val="001A79BA"/>
    <w:rsid w:val="001C44A4"/>
    <w:rsid w:val="001D103E"/>
    <w:rsid w:val="001D43A2"/>
    <w:rsid w:val="001F1799"/>
    <w:rsid w:val="002113EF"/>
    <w:rsid w:val="0021577F"/>
    <w:rsid w:val="00227766"/>
    <w:rsid w:val="00237403"/>
    <w:rsid w:val="00256C7D"/>
    <w:rsid w:val="00261BD0"/>
    <w:rsid w:val="00272312"/>
    <w:rsid w:val="00280897"/>
    <w:rsid w:val="002B6E40"/>
    <w:rsid w:val="002C2225"/>
    <w:rsid w:val="002D2E9E"/>
    <w:rsid w:val="002D42A9"/>
    <w:rsid w:val="002D7B70"/>
    <w:rsid w:val="002E5255"/>
    <w:rsid w:val="0033291C"/>
    <w:rsid w:val="0033492B"/>
    <w:rsid w:val="00343701"/>
    <w:rsid w:val="00344827"/>
    <w:rsid w:val="00365E25"/>
    <w:rsid w:val="00372761"/>
    <w:rsid w:val="00377C4A"/>
    <w:rsid w:val="0038058C"/>
    <w:rsid w:val="0038080F"/>
    <w:rsid w:val="003A1B64"/>
    <w:rsid w:val="003A1EC6"/>
    <w:rsid w:val="003A35C8"/>
    <w:rsid w:val="003A4796"/>
    <w:rsid w:val="003A709F"/>
    <w:rsid w:val="003C0BCA"/>
    <w:rsid w:val="003C73B8"/>
    <w:rsid w:val="003C7F30"/>
    <w:rsid w:val="003D1F35"/>
    <w:rsid w:val="003D1F48"/>
    <w:rsid w:val="00413ACB"/>
    <w:rsid w:val="004348CB"/>
    <w:rsid w:val="00442991"/>
    <w:rsid w:val="00444BDB"/>
    <w:rsid w:val="00452764"/>
    <w:rsid w:val="00481C05"/>
    <w:rsid w:val="00494528"/>
    <w:rsid w:val="004A2B22"/>
    <w:rsid w:val="004B7317"/>
    <w:rsid w:val="004C18C0"/>
    <w:rsid w:val="00502FF3"/>
    <w:rsid w:val="00507B03"/>
    <w:rsid w:val="005161AE"/>
    <w:rsid w:val="00517FE5"/>
    <w:rsid w:val="00521493"/>
    <w:rsid w:val="005445E1"/>
    <w:rsid w:val="00544F1A"/>
    <w:rsid w:val="00553052"/>
    <w:rsid w:val="00567443"/>
    <w:rsid w:val="00593714"/>
    <w:rsid w:val="005A0773"/>
    <w:rsid w:val="005A4DEA"/>
    <w:rsid w:val="005B5270"/>
    <w:rsid w:val="005E3ED3"/>
    <w:rsid w:val="00634914"/>
    <w:rsid w:val="00644457"/>
    <w:rsid w:val="006505D8"/>
    <w:rsid w:val="0065214E"/>
    <w:rsid w:val="00665B44"/>
    <w:rsid w:val="006662EE"/>
    <w:rsid w:val="00674BAE"/>
    <w:rsid w:val="00680D11"/>
    <w:rsid w:val="00692456"/>
    <w:rsid w:val="006A0F40"/>
    <w:rsid w:val="006C30A4"/>
    <w:rsid w:val="006C3D9C"/>
    <w:rsid w:val="006D2810"/>
    <w:rsid w:val="0070377D"/>
    <w:rsid w:val="00720AE0"/>
    <w:rsid w:val="0072432A"/>
    <w:rsid w:val="00732910"/>
    <w:rsid w:val="0074405D"/>
    <w:rsid w:val="0074458D"/>
    <w:rsid w:val="00750CBA"/>
    <w:rsid w:val="007714C1"/>
    <w:rsid w:val="007749D4"/>
    <w:rsid w:val="00782061"/>
    <w:rsid w:val="007913DB"/>
    <w:rsid w:val="0079670C"/>
    <w:rsid w:val="007C7171"/>
    <w:rsid w:val="007D107D"/>
    <w:rsid w:val="007E5055"/>
    <w:rsid w:val="007E7E85"/>
    <w:rsid w:val="008039E4"/>
    <w:rsid w:val="00804720"/>
    <w:rsid w:val="00805494"/>
    <w:rsid w:val="00837DB4"/>
    <w:rsid w:val="008463E0"/>
    <w:rsid w:val="00847096"/>
    <w:rsid w:val="00867645"/>
    <w:rsid w:val="00874C12"/>
    <w:rsid w:val="00884293"/>
    <w:rsid w:val="008B3CD1"/>
    <w:rsid w:val="008C397B"/>
    <w:rsid w:val="008D1CCC"/>
    <w:rsid w:val="008E445F"/>
    <w:rsid w:val="008F3851"/>
    <w:rsid w:val="00905FF1"/>
    <w:rsid w:val="0091264F"/>
    <w:rsid w:val="00931FD3"/>
    <w:rsid w:val="009409D1"/>
    <w:rsid w:val="0094227D"/>
    <w:rsid w:val="00957985"/>
    <w:rsid w:val="00972491"/>
    <w:rsid w:val="00990380"/>
    <w:rsid w:val="00990C15"/>
    <w:rsid w:val="009A55CF"/>
    <w:rsid w:val="009A56B5"/>
    <w:rsid w:val="009B0812"/>
    <w:rsid w:val="009B5BE1"/>
    <w:rsid w:val="009E2614"/>
    <w:rsid w:val="009E477C"/>
    <w:rsid w:val="009F31D4"/>
    <w:rsid w:val="009F63A3"/>
    <w:rsid w:val="00A04426"/>
    <w:rsid w:val="00A05574"/>
    <w:rsid w:val="00A1040A"/>
    <w:rsid w:val="00A14B0E"/>
    <w:rsid w:val="00A1594E"/>
    <w:rsid w:val="00A441D7"/>
    <w:rsid w:val="00A60F1B"/>
    <w:rsid w:val="00A675C1"/>
    <w:rsid w:val="00A96462"/>
    <w:rsid w:val="00AC7129"/>
    <w:rsid w:val="00AE28DA"/>
    <w:rsid w:val="00AE6BFE"/>
    <w:rsid w:val="00AF547B"/>
    <w:rsid w:val="00B05365"/>
    <w:rsid w:val="00B07973"/>
    <w:rsid w:val="00B13F1F"/>
    <w:rsid w:val="00B22CA7"/>
    <w:rsid w:val="00B2425A"/>
    <w:rsid w:val="00B249B8"/>
    <w:rsid w:val="00B327A6"/>
    <w:rsid w:val="00B43276"/>
    <w:rsid w:val="00B46F8D"/>
    <w:rsid w:val="00B63ED4"/>
    <w:rsid w:val="00B72C8D"/>
    <w:rsid w:val="00B777C5"/>
    <w:rsid w:val="00B8586C"/>
    <w:rsid w:val="00B956A9"/>
    <w:rsid w:val="00BA6328"/>
    <w:rsid w:val="00BA73A5"/>
    <w:rsid w:val="00BD24BE"/>
    <w:rsid w:val="00BD470D"/>
    <w:rsid w:val="00BD5B30"/>
    <w:rsid w:val="00BE313A"/>
    <w:rsid w:val="00C2280B"/>
    <w:rsid w:val="00C241D2"/>
    <w:rsid w:val="00C24C40"/>
    <w:rsid w:val="00C24F3C"/>
    <w:rsid w:val="00C42AB7"/>
    <w:rsid w:val="00C70235"/>
    <w:rsid w:val="00C730B4"/>
    <w:rsid w:val="00C86630"/>
    <w:rsid w:val="00C970B1"/>
    <w:rsid w:val="00CA582A"/>
    <w:rsid w:val="00CB241D"/>
    <w:rsid w:val="00CB30DD"/>
    <w:rsid w:val="00CB4210"/>
    <w:rsid w:val="00CE01A5"/>
    <w:rsid w:val="00CE7C96"/>
    <w:rsid w:val="00D0249F"/>
    <w:rsid w:val="00D10019"/>
    <w:rsid w:val="00D1203A"/>
    <w:rsid w:val="00D15AB5"/>
    <w:rsid w:val="00D20A33"/>
    <w:rsid w:val="00D21501"/>
    <w:rsid w:val="00D30EA1"/>
    <w:rsid w:val="00D31CFF"/>
    <w:rsid w:val="00D36EC5"/>
    <w:rsid w:val="00D3767F"/>
    <w:rsid w:val="00D54F56"/>
    <w:rsid w:val="00D60783"/>
    <w:rsid w:val="00D82F07"/>
    <w:rsid w:val="00DB195F"/>
    <w:rsid w:val="00DB3EB2"/>
    <w:rsid w:val="00DC7771"/>
    <w:rsid w:val="00DE3189"/>
    <w:rsid w:val="00DE6457"/>
    <w:rsid w:val="00DE7C60"/>
    <w:rsid w:val="00DF5339"/>
    <w:rsid w:val="00DF55E2"/>
    <w:rsid w:val="00E03A5A"/>
    <w:rsid w:val="00E21AB2"/>
    <w:rsid w:val="00E31112"/>
    <w:rsid w:val="00E41621"/>
    <w:rsid w:val="00E60365"/>
    <w:rsid w:val="00E65F45"/>
    <w:rsid w:val="00E75286"/>
    <w:rsid w:val="00E76BE5"/>
    <w:rsid w:val="00E92D2E"/>
    <w:rsid w:val="00EA2D17"/>
    <w:rsid w:val="00EC0C77"/>
    <w:rsid w:val="00EC2524"/>
    <w:rsid w:val="00EE64E6"/>
    <w:rsid w:val="00EF374E"/>
    <w:rsid w:val="00EF59D5"/>
    <w:rsid w:val="00F06B81"/>
    <w:rsid w:val="00F11E5F"/>
    <w:rsid w:val="00F147D9"/>
    <w:rsid w:val="00F20132"/>
    <w:rsid w:val="00F33F13"/>
    <w:rsid w:val="00F42FE9"/>
    <w:rsid w:val="00F7541C"/>
    <w:rsid w:val="00F809B9"/>
    <w:rsid w:val="00F90E82"/>
    <w:rsid w:val="00F956FB"/>
    <w:rsid w:val="00FA34AF"/>
    <w:rsid w:val="00FB481B"/>
    <w:rsid w:val="00FF0B7C"/>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F2F90"/>
  <w15:docId w15:val="{6DC51972-AF50-4AD9-A411-A7B1AE28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C7D"/>
    <w:pPr>
      <w:spacing w:after="0" w:line="240" w:lineRule="auto"/>
      <w:jc w:val="both"/>
    </w:pPr>
    <w:rPr>
      <w:rFonts w:ascii="Times New Roman" w:eastAsia="Times New Roman" w:hAnsi="Times New Roman" w:cs="Times New Roman"/>
      <w:szCs w:val="24"/>
    </w:rPr>
  </w:style>
  <w:style w:type="paragraph" w:styleId="Heading1">
    <w:name w:val="heading 1"/>
    <w:next w:val="Normal"/>
    <w:link w:val="Heading1Char"/>
    <w:uiPriority w:val="9"/>
    <w:qFormat/>
    <w:rsid w:val="00CB30DD"/>
    <w:pPr>
      <w:tabs>
        <w:tab w:val="center" w:pos="4680"/>
      </w:tabs>
      <w:spacing w:after="0" w:line="240" w:lineRule="auto"/>
      <w:jc w:val="center"/>
      <w:outlineLvl w:val="0"/>
    </w:pPr>
    <w:rPr>
      <w:rFonts w:ascii="Times New Roman" w:eastAsia="Times New Roman" w:hAnsi="Times New Roman" w:cs="Times New Roman"/>
      <w:b/>
      <w:sz w:val="28"/>
      <w:szCs w:val="28"/>
    </w:rPr>
  </w:style>
  <w:style w:type="paragraph" w:styleId="Heading2">
    <w:name w:val="heading 2"/>
    <w:next w:val="Normal"/>
    <w:link w:val="Heading2Char"/>
    <w:uiPriority w:val="9"/>
    <w:unhideWhenUsed/>
    <w:qFormat/>
    <w:rsid w:val="00B07973"/>
    <w:pPr>
      <w:spacing w:before="240" w:after="0" w:line="240" w:lineRule="auto"/>
      <w:outlineLvl w:val="1"/>
    </w:pPr>
    <w:rPr>
      <w:rFonts w:ascii="Times New Roman" w:eastAsia="Times New Roman" w:hAnsi="Times New Roman" w:cs="Times New Roman"/>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77D"/>
    <w:pPr>
      <w:tabs>
        <w:tab w:val="center" w:pos="4680"/>
        <w:tab w:val="right" w:pos="9360"/>
      </w:tabs>
    </w:pPr>
  </w:style>
  <w:style w:type="character" w:customStyle="1" w:styleId="HeaderChar">
    <w:name w:val="Header Char"/>
    <w:basedOn w:val="DefaultParagraphFont"/>
    <w:link w:val="Header"/>
    <w:uiPriority w:val="99"/>
    <w:rsid w:val="0070377D"/>
    <w:rPr>
      <w:rFonts w:ascii="Times New Roman" w:eastAsia="Times New Roman" w:hAnsi="Times New Roman" w:cs="Times New Roman"/>
      <w:szCs w:val="24"/>
    </w:rPr>
  </w:style>
  <w:style w:type="paragraph" w:styleId="Footer">
    <w:name w:val="footer"/>
    <w:basedOn w:val="Normal"/>
    <w:link w:val="FooterChar"/>
    <w:uiPriority w:val="99"/>
    <w:unhideWhenUsed/>
    <w:rsid w:val="0070377D"/>
    <w:pPr>
      <w:tabs>
        <w:tab w:val="center" w:pos="4680"/>
        <w:tab w:val="right" w:pos="9360"/>
      </w:tabs>
    </w:pPr>
  </w:style>
  <w:style w:type="character" w:customStyle="1" w:styleId="FooterChar">
    <w:name w:val="Footer Char"/>
    <w:basedOn w:val="DefaultParagraphFont"/>
    <w:link w:val="Footer"/>
    <w:uiPriority w:val="99"/>
    <w:rsid w:val="0070377D"/>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4C18C0"/>
    <w:rPr>
      <w:rFonts w:ascii="Tahoma" w:hAnsi="Tahoma" w:cs="Tahoma"/>
      <w:sz w:val="16"/>
      <w:szCs w:val="16"/>
    </w:rPr>
  </w:style>
  <w:style w:type="character" w:customStyle="1" w:styleId="BalloonTextChar">
    <w:name w:val="Balloon Text Char"/>
    <w:basedOn w:val="DefaultParagraphFont"/>
    <w:link w:val="BalloonText"/>
    <w:uiPriority w:val="99"/>
    <w:semiHidden/>
    <w:rsid w:val="004C18C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F374E"/>
    <w:rPr>
      <w:sz w:val="16"/>
      <w:szCs w:val="16"/>
    </w:rPr>
  </w:style>
  <w:style w:type="paragraph" w:styleId="CommentText">
    <w:name w:val="annotation text"/>
    <w:basedOn w:val="Normal"/>
    <w:link w:val="CommentTextChar"/>
    <w:uiPriority w:val="99"/>
    <w:semiHidden/>
    <w:unhideWhenUsed/>
    <w:rsid w:val="00EF374E"/>
    <w:rPr>
      <w:sz w:val="20"/>
      <w:szCs w:val="20"/>
    </w:rPr>
  </w:style>
  <w:style w:type="character" w:customStyle="1" w:styleId="CommentTextChar">
    <w:name w:val="Comment Text Char"/>
    <w:basedOn w:val="DefaultParagraphFont"/>
    <w:link w:val="CommentText"/>
    <w:uiPriority w:val="99"/>
    <w:semiHidden/>
    <w:rsid w:val="00EF37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374E"/>
    <w:rPr>
      <w:b/>
      <w:bCs/>
    </w:rPr>
  </w:style>
  <w:style w:type="character" w:customStyle="1" w:styleId="CommentSubjectChar">
    <w:name w:val="Comment Subject Char"/>
    <w:basedOn w:val="CommentTextChar"/>
    <w:link w:val="CommentSubject"/>
    <w:uiPriority w:val="99"/>
    <w:semiHidden/>
    <w:rsid w:val="00EF374E"/>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CB30DD"/>
    <w:rPr>
      <w:rFonts w:ascii="Times New Roman" w:eastAsia="Times New Roman" w:hAnsi="Times New Roman" w:cs="Times New Roman"/>
      <w:b/>
      <w:sz w:val="28"/>
      <w:szCs w:val="28"/>
    </w:rPr>
  </w:style>
  <w:style w:type="character" w:customStyle="1" w:styleId="Heading2Char">
    <w:name w:val="Heading 2 Char"/>
    <w:basedOn w:val="DefaultParagraphFont"/>
    <w:link w:val="Heading2"/>
    <w:uiPriority w:val="9"/>
    <w:rsid w:val="00B07973"/>
    <w:rPr>
      <w:rFonts w:ascii="Times New Roman" w:eastAsia="Times New Roman" w:hAnsi="Times New Roman" w:cs="Times New Roman"/>
      <w:i/>
      <w:u w:val="single"/>
    </w:rPr>
  </w:style>
  <w:style w:type="paragraph" w:styleId="ListParagraph">
    <w:name w:val="List Paragraph"/>
    <w:uiPriority w:val="34"/>
    <w:qFormat/>
    <w:rsid w:val="00F33F13"/>
    <w:pPr>
      <w:tabs>
        <w:tab w:val="left" w:pos="440"/>
      </w:tabs>
      <w:spacing w:after="0" w:line="240" w:lineRule="auto"/>
      <w:jc w:val="both"/>
    </w:pPr>
    <w:rPr>
      <w:rFonts w:ascii="Times New Roman" w:eastAsia="Times New Roman" w:hAnsi="Times New Roman" w:cs="Times New Roman"/>
    </w:rPr>
  </w:style>
  <w:style w:type="table" w:styleId="TableGrid">
    <w:name w:val="Table Grid"/>
    <w:basedOn w:val="TableNormal"/>
    <w:uiPriority w:val="59"/>
    <w:rsid w:val="00237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qFormat/>
    <w:rsid w:val="005B5270"/>
    <w:pPr>
      <w:tabs>
        <w:tab w:val="left" w:pos="450"/>
      </w:tabs>
      <w:spacing w:after="0" w:line="240" w:lineRule="auto"/>
    </w:pPr>
    <w:rPr>
      <w:rFonts w:ascii="Times New Roman" w:eastAsia="Times New Roman" w:hAnsi="Times New Roman" w:cs="Times New Roman"/>
    </w:rPr>
  </w:style>
  <w:style w:type="paragraph" w:customStyle="1" w:styleId="TableBody">
    <w:name w:val="Table Body"/>
    <w:qFormat/>
    <w:rsid w:val="00D31CFF"/>
    <w:pPr>
      <w:tabs>
        <w:tab w:val="left" w:pos="450"/>
      </w:tabs>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54.wmf"/><Relationship Id="rId21" Type="http://schemas.openxmlformats.org/officeDocument/2006/relationships/image" Target="media/image6.wmf"/><Relationship Id="rId42" Type="http://schemas.openxmlformats.org/officeDocument/2006/relationships/oleObject" Target="embeddings/oleObject16.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0.wmf"/><Relationship Id="rId112" Type="http://schemas.openxmlformats.org/officeDocument/2006/relationships/oleObject" Target="embeddings/oleObject51.bin"/><Relationship Id="rId133" Type="http://schemas.openxmlformats.org/officeDocument/2006/relationships/image" Target="media/image62.wmf"/><Relationship Id="rId138" Type="http://schemas.openxmlformats.org/officeDocument/2006/relationships/oleObject" Target="embeddings/oleObject64.bin"/><Relationship Id="rId154" Type="http://schemas.openxmlformats.org/officeDocument/2006/relationships/oleObject" Target="embeddings/oleObject71.bin"/><Relationship Id="rId159" Type="http://schemas.openxmlformats.org/officeDocument/2006/relationships/header" Target="header1.xml"/><Relationship Id="rId16" Type="http://schemas.openxmlformats.org/officeDocument/2006/relationships/oleObject" Target="embeddings/oleObject3.bin"/><Relationship Id="rId107" Type="http://schemas.openxmlformats.org/officeDocument/2006/relationships/image" Target="media/image49.wmf"/><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5.wmf"/><Relationship Id="rId102" Type="http://schemas.openxmlformats.org/officeDocument/2006/relationships/oleObject" Target="embeddings/oleObject46.bin"/><Relationship Id="rId123" Type="http://schemas.openxmlformats.org/officeDocument/2006/relationships/image" Target="media/image57.wmf"/><Relationship Id="rId128" Type="http://schemas.openxmlformats.org/officeDocument/2006/relationships/oleObject" Target="embeddings/oleObject59.bin"/><Relationship Id="rId144" Type="http://schemas.openxmlformats.org/officeDocument/2006/relationships/oleObject" Target="embeddings/oleObject66.bin"/><Relationship Id="rId149" Type="http://schemas.openxmlformats.org/officeDocument/2006/relationships/image" Target="media/image71.wmf"/><Relationship Id="rId5" Type="http://schemas.openxmlformats.org/officeDocument/2006/relationships/numbering" Target="numbering.xml"/><Relationship Id="rId90" Type="http://schemas.openxmlformats.org/officeDocument/2006/relationships/oleObject" Target="embeddings/oleObject40.bin"/><Relationship Id="rId95" Type="http://schemas.openxmlformats.org/officeDocument/2006/relationships/image" Target="media/image43.wmf"/><Relationship Id="rId160" Type="http://schemas.openxmlformats.org/officeDocument/2006/relationships/header" Target="header2.xml"/><Relationship Id="rId165" Type="http://schemas.openxmlformats.org/officeDocument/2006/relationships/fontTable" Target="fontTable.xml"/><Relationship Id="rId22" Type="http://schemas.openxmlformats.org/officeDocument/2006/relationships/oleObject" Target="embeddings/oleObject6.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0.wmf"/><Relationship Id="rId113" Type="http://schemas.openxmlformats.org/officeDocument/2006/relationships/image" Target="media/image52.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image" Target="media/image65.wmf"/><Relationship Id="rId80" Type="http://schemas.openxmlformats.org/officeDocument/2006/relationships/oleObject" Target="embeddings/oleObject35.bin"/><Relationship Id="rId85" Type="http://schemas.openxmlformats.org/officeDocument/2006/relationships/image" Target="media/image38.wmf"/><Relationship Id="rId150" Type="http://schemas.openxmlformats.org/officeDocument/2006/relationships/oleObject" Target="embeddings/oleObject69.bin"/><Relationship Id="rId155" Type="http://schemas.openxmlformats.org/officeDocument/2006/relationships/image" Target="media/image74.wmf"/><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oleObject" Target="embeddings/oleObject14.bin"/><Relationship Id="rId59" Type="http://schemas.openxmlformats.org/officeDocument/2006/relationships/image" Target="media/image25.wmf"/><Relationship Id="rId103" Type="http://schemas.openxmlformats.org/officeDocument/2006/relationships/image" Target="media/image47.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0.wmf"/><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3.bin"/><Relationship Id="rId140" Type="http://schemas.openxmlformats.org/officeDocument/2006/relationships/oleObject" Target="embeddings/oleObject65.bin"/><Relationship Id="rId145" Type="http://schemas.openxmlformats.org/officeDocument/2006/relationships/image" Target="media/image69.wmf"/><Relationship Id="rId161" Type="http://schemas.openxmlformats.org/officeDocument/2006/relationships/footer" Target="footer1.xm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endnotes" Target="endnotes.xm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4.bin"/><Relationship Id="rId81" Type="http://schemas.openxmlformats.org/officeDocument/2006/relationships/image" Target="media/image36.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6.bin"/><Relationship Id="rId130" Type="http://schemas.openxmlformats.org/officeDocument/2006/relationships/oleObject" Target="embeddings/oleObject60.bin"/><Relationship Id="rId135" Type="http://schemas.openxmlformats.org/officeDocument/2006/relationships/image" Target="media/image63.wmf"/><Relationship Id="rId143" Type="http://schemas.openxmlformats.org/officeDocument/2006/relationships/image" Target="media/image68.wmf"/><Relationship Id="rId148" Type="http://schemas.openxmlformats.org/officeDocument/2006/relationships/oleObject" Target="embeddings/oleObject68.bin"/><Relationship Id="rId151" Type="http://schemas.openxmlformats.org/officeDocument/2006/relationships/image" Target="media/image72.wmf"/><Relationship Id="rId156" Type="http://schemas.openxmlformats.org/officeDocument/2006/relationships/oleObject" Target="embeddings/oleObject72.bin"/><Relationship Id="rId16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109" Type="http://schemas.openxmlformats.org/officeDocument/2006/relationships/image" Target="media/image50.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3.wmf"/><Relationship Id="rId76" Type="http://schemas.openxmlformats.org/officeDocument/2006/relationships/oleObject" Target="embeddings/oleObject33.bin"/><Relationship Id="rId97" Type="http://schemas.openxmlformats.org/officeDocument/2006/relationships/image" Target="media/image44.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58.wmf"/><Relationship Id="rId141" Type="http://schemas.openxmlformats.org/officeDocument/2006/relationships/image" Target="media/image66.png"/><Relationship Id="rId146" Type="http://schemas.openxmlformats.org/officeDocument/2006/relationships/oleObject" Target="embeddings/oleObject67.bin"/><Relationship Id="rId7" Type="http://schemas.openxmlformats.org/officeDocument/2006/relationships/settings" Target="settings.xml"/><Relationship Id="rId71" Type="http://schemas.openxmlformats.org/officeDocument/2006/relationships/image" Target="media/image31.wmf"/><Relationship Id="rId92" Type="http://schemas.openxmlformats.org/officeDocument/2006/relationships/oleObject" Target="embeddings/oleObject41.bin"/><Relationship Id="rId162"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8.wmf"/><Relationship Id="rId66" Type="http://schemas.openxmlformats.org/officeDocument/2006/relationships/oleObject" Target="embeddings/oleObject28.bin"/><Relationship Id="rId87" Type="http://schemas.openxmlformats.org/officeDocument/2006/relationships/image" Target="media/image39.wmf"/><Relationship Id="rId110" Type="http://schemas.openxmlformats.org/officeDocument/2006/relationships/oleObject" Target="embeddings/oleObject50.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3.bin"/><Relationship Id="rId157" Type="http://schemas.openxmlformats.org/officeDocument/2006/relationships/image" Target="media/image75.wmf"/><Relationship Id="rId61" Type="http://schemas.openxmlformats.org/officeDocument/2006/relationships/image" Target="media/image26.wmf"/><Relationship Id="rId82" Type="http://schemas.openxmlformats.org/officeDocument/2006/relationships/oleObject" Target="embeddings/oleObject36.bin"/><Relationship Id="rId152" Type="http://schemas.openxmlformats.org/officeDocument/2006/relationships/oleObject" Target="embeddings/oleObject70.bin"/><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3.wmf"/><Relationship Id="rId56" Type="http://schemas.openxmlformats.org/officeDocument/2006/relationships/oleObject" Target="embeddings/oleObject23.bin"/><Relationship Id="rId77" Type="http://schemas.openxmlformats.org/officeDocument/2006/relationships/image" Target="media/image34.wmf"/><Relationship Id="rId100" Type="http://schemas.openxmlformats.org/officeDocument/2006/relationships/oleObject" Target="embeddings/oleObject45.bin"/><Relationship Id="rId105" Type="http://schemas.openxmlformats.org/officeDocument/2006/relationships/image" Target="media/image48.wmf"/><Relationship Id="rId126" Type="http://schemas.openxmlformats.org/officeDocument/2006/relationships/oleObject" Target="embeddings/oleObject58.bin"/><Relationship Id="rId147" Type="http://schemas.openxmlformats.org/officeDocument/2006/relationships/image" Target="media/image70.wmf"/><Relationship Id="rId8" Type="http://schemas.openxmlformats.org/officeDocument/2006/relationships/webSettings" Target="webSettings.xml"/><Relationship Id="rId51" Type="http://schemas.openxmlformats.org/officeDocument/2006/relationships/image" Target="media/image21.wmf"/><Relationship Id="rId72" Type="http://schemas.openxmlformats.org/officeDocument/2006/relationships/oleObject" Target="embeddings/oleObject31.bin"/><Relationship Id="rId93" Type="http://schemas.openxmlformats.org/officeDocument/2006/relationships/image" Target="media/image42.wmf"/><Relationship Id="rId98" Type="http://schemas.openxmlformats.org/officeDocument/2006/relationships/oleObject" Target="embeddings/oleObject44.bin"/><Relationship Id="rId121" Type="http://schemas.openxmlformats.org/officeDocument/2006/relationships/image" Target="media/image56.wmf"/><Relationship Id="rId142" Type="http://schemas.openxmlformats.org/officeDocument/2006/relationships/image" Target="media/image67.png"/><Relationship Id="rId163" Type="http://schemas.openxmlformats.org/officeDocument/2006/relationships/header" Target="header3.xml"/><Relationship Id="rId3" Type="http://schemas.openxmlformats.org/officeDocument/2006/relationships/customXml" Target="../customXml/item3.xml"/><Relationship Id="rId25" Type="http://schemas.openxmlformats.org/officeDocument/2006/relationships/image" Target="media/image8.wmf"/><Relationship Id="rId46" Type="http://schemas.openxmlformats.org/officeDocument/2006/relationships/oleObject" Target="embeddings/oleObject18.bin"/><Relationship Id="rId67" Type="http://schemas.openxmlformats.org/officeDocument/2006/relationships/image" Target="media/image29.wmf"/><Relationship Id="rId116" Type="http://schemas.openxmlformats.org/officeDocument/2006/relationships/oleObject" Target="embeddings/oleObject53.bin"/><Relationship Id="rId137" Type="http://schemas.openxmlformats.org/officeDocument/2006/relationships/image" Target="media/image64.wmf"/><Relationship Id="rId158" Type="http://schemas.openxmlformats.org/officeDocument/2006/relationships/oleObject" Target="embeddings/oleObject73.bin"/><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oleObject" Target="embeddings/oleObject26.bin"/><Relationship Id="rId83" Type="http://schemas.openxmlformats.org/officeDocument/2006/relationships/image" Target="media/image37.wmf"/><Relationship Id="rId88" Type="http://schemas.openxmlformats.org/officeDocument/2006/relationships/oleObject" Target="embeddings/oleObject39.bin"/><Relationship Id="rId111" Type="http://schemas.openxmlformats.org/officeDocument/2006/relationships/image" Target="media/image51.wmf"/><Relationship Id="rId132" Type="http://schemas.openxmlformats.org/officeDocument/2006/relationships/oleObject" Target="embeddings/oleObject61.bin"/><Relationship Id="rId153" Type="http://schemas.openxmlformats.org/officeDocument/2006/relationships/image" Target="media/image7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C455579C3A274F9BBD63EF84515016" ma:contentTypeVersion="13" ma:contentTypeDescription="Create a new document." ma:contentTypeScope="" ma:versionID="32b1a434a9bb5d935f86572af740ae29">
  <xsd:schema xmlns:xsd="http://www.w3.org/2001/XMLSchema" xmlns:xs="http://www.w3.org/2001/XMLSchema" xmlns:p="http://schemas.microsoft.com/office/2006/metadata/properties" xmlns:ns3="52bb90a6-3a09-4a9b-9255-9e7fe57c6d7f" xmlns:ns4="cf7152af-ede1-4633-b722-e52966493f12" targetNamespace="http://schemas.microsoft.com/office/2006/metadata/properties" ma:root="true" ma:fieldsID="1dcc86531dba47cd24e81bda722e3f14" ns3:_="" ns4:_="">
    <xsd:import namespace="52bb90a6-3a09-4a9b-9255-9e7fe57c6d7f"/>
    <xsd:import namespace="cf7152af-ede1-4633-b722-e52966493f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b90a6-3a09-4a9b-9255-9e7fe57c6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7152af-ede1-4633-b722-e52966493f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FF109-9EA0-4B7A-BCAC-1A5742444597}">
  <ds:schemaRefs>
    <ds:schemaRef ds:uri="http://schemas.microsoft.com/sharepoint/v3/contenttype/forms"/>
  </ds:schemaRefs>
</ds:datastoreItem>
</file>

<file path=customXml/itemProps2.xml><?xml version="1.0" encoding="utf-8"?>
<ds:datastoreItem xmlns:ds="http://schemas.openxmlformats.org/officeDocument/2006/customXml" ds:itemID="{A5A65FC6-8495-4B83-A0BB-7672608EC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b90a6-3a09-4a9b-9255-9e7fe57c6d7f"/>
    <ds:schemaRef ds:uri="cf7152af-ede1-4633-b722-e52966493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57B915-9516-4D9F-9F50-DCCF614E5B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9A6DF0-A41C-402B-8F47-E7B2A2F1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10</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Chapter 1 A Brief History of Risk and Return</vt:lpstr>
    </vt:vector>
  </TitlesOfParts>
  <Company>Butler University</Company>
  <LinksUpToDate>false</LinksUpToDate>
  <CharactersWithSpaces>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A Brief History of Risk and Return</dc:title>
  <dc:creator>Information Resources</dc:creator>
  <cp:lastModifiedBy>codemantra</cp:lastModifiedBy>
  <cp:revision>224</cp:revision>
  <dcterms:created xsi:type="dcterms:W3CDTF">2022-04-19T17:41:00Z</dcterms:created>
  <dcterms:modified xsi:type="dcterms:W3CDTF">2023-05-11T11:56:00Z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0x010100B9C455579C3A274F9BBD63EF84515016</vt:lpwstr>
  </property>
  <property fmtid="{D5CDD505-2E9C-101B-9397-08002B2CF9AE}" pid="3" name="MTWinEqns">
    <vt:bool>true</vt:bool>
  </property>
  <property fmtid="{D5CDD505-2E9C-101B-9397-08002B2CF9AE}" pid="4" name="MTEqnNumsOnRight">
    <vt:bool>false</vt:bool>
  </property>
  <property fmtid="{D5CDD505-2E9C-101B-9397-08002B2CF9AE}" pid="5" name="MTEquationNumber2">
    <vt:lpwstr>(#S1.#E1)</vt:lpwstr>
  </property>
</Properties>
</file>