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oter+xml" PartName="/word/footer.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Types>
</file>

<file path=_rels/.rels><?xml version="1.0" encoding="UTF-8" standalone="yes"?>
<Relationships xmlns="http://schemas.openxmlformats.org/package/2006/relationships">
    <Relationship Target="word/document.xml" Type="http://schemas.openxmlformats.org/officeDocument/2006/relationships/officeDocument" Id="rId1"/>
    <Relationship Target="docProps/core.xml" Type="http://schemas.openxmlformats.org/package/2006/relationships/metadata/core-properties" Id="rId2"/>
    <Relationship Target="docProps/app.xml" Type="http://schemas.openxmlformats.org/officeDocument/2006/relationships/extended-properties" Id="rId3"/>
    <Relationship Target="docProps/custom.xml" Type="http://schemas.openxmlformats.org/officeDocument/2006/relationships/custom-properties" Id="rId4"/>
</Relationships>

</file>

<file path=word/document.xml><?xml version="1.0" encoding="utf-8"?>
<w:document xmlns:w="http://schemas.openxmlformats.org/wordprocessingml/2006/main" xmlns:r="http://schemas.openxmlformats.org/officeDocument/2006/relationships" xmlns:m="http://schemas.openxmlformats.org/officeDocument/2006/math" xmlns:sl="http://schemas.openxmlformats.org/schemaLibrary/2006/main" xmlns:w15="http://schemas.microsoft.com/office/word/2012/wordml" xmlns:w14="http://schemas.microsoft.com/office/word/2010/wordml" xmlns:mc="http://schemas.openxmlformats.org/markup-compatibility/2006" xmlns:a="http://schemas.openxmlformats.org/drawingml/2006/main" xmlns:a14="http://schemas.microsoft.com/office/drawing/2010/main" xmlns:wp="http://schemas.openxmlformats.org/drawingml/2006/wordprocessingDrawing" xmlns:wp14="http://schemas.microsoft.com/office/word/2010/wordprocessingDrawing"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w:body>
    <!-- Created by docx4j 11.1.0 (Apache licensed) using REFERENCE JAXB in Amazon.com Inc. Java 11.0.8 on Linux -->
    <w:sectPr>
      <w:footerReference w:type="default" r:id="rId3"/>
      <w:type w:val="continuous"/>
      <w:pgMar w:top="1440" w:right="1440" w:bottom="1440" w:left="1440"/>
      <w:cols w:space="720"/>
    </w:sectPr>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TRUE/FALSE - Write 'T' if the statement is true and 'F' if the statement is false.</w:t>
        <w:br/>
      </w:r>
      <w:r>
        <w:rPr>
          <w:rFonts w:ascii="Times New Roman"/>
          <w:b/>
          <w:sz w:val="24"/>
        </w:rPr>
        <w:t>1)</w:t>
        <w:tab/>
      </w:r>
      <w:r>
        <w:rPr>
          <w:rFonts w:ascii="Times New Roman"/>
          <w:b w:val="false"/>
          <w:i w:val="false"/>
          <w:color w:val="000000"/>
          <w:sz w:val="24"/>
        </w:rPr>
        <w:t>Although independent audits of today place more emphasis on sampling than did the audits of the 19</w:t>
      </w:r>
      <w:r>
        <w:rPr>
          <w:rFonts w:ascii="Times New Roman"/>
          <w:b w:val="false"/>
          <w:i w:val="false"/>
          <w:color w:val="000000"/>
          <w:sz w:val="24"/>
          <w:vertAlign w:val="superscript"/>
        </w:rPr>
        <w:t>th</w:t>
      </w:r>
      <w:r>
        <w:rPr>
          <w:rFonts w:ascii="Times New Roman"/>
          <w:b w:val="false"/>
          <w:i w:val="false"/>
          <w:color w:val="000000"/>
          <w:sz w:val="24"/>
        </w:rPr>
        <w:t xml:space="preserve"> century, in increasing circumstances, changes in information technology are again making possible audits of aspects of all transactions in large populations.</w:t>
      </w:r>
      <w:r>
        <w:rPr>
          <w:rFonts w:ascii="Times New Roman"/>
          <w:sz w:val="24"/>
        </w:rPr>
        <w:br/>
      </w:r>
      <w:r>
        <w:rPr>
          <w:rFonts w:ascii="Times New Roman"/>
          <w:sz w:val="24"/>
        </w:rP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t>⊚</w:t>
        <w:tab/>
        <w:t>true</w:t>
        <w:br/>
      </w:r>
      <w:r>
        <w:rPr>
          <w:rFonts w:ascii="Times New Roman"/>
          <w:sz w:val="24"/>
        </w:rPr>
        <w:tab/>
        <w:t>⊚</w:t>
        <w:tab/>
        <w:t>false</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2)</w:t>
        <w:tab/>
      </w:r>
      <w:r>
        <w:rPr>
          <w:rFonts w:ascii="Times New Roman"/>
          <w:b w:val="false"/>
          <w:i w:val="false"/>
          <w:color w:val="000000"/>
          <w:sz w:val="24"/>
        </w:rPr>
        <w:t>The American Institute of Certified Public Accountants creates the CPA Exam, while individual states issue CPA certificates and permits CPAs to practice.</w:t>
      </w:r>
      <w:r>
        <w:rPr>
          <w:rFonts w:ascii="Times New Roman"/>
          <w:sz w:val="24"/>
        </w:rPr>
        <w:br/>
      </w:r>
      <w:r>
        <w:rPr>
          <w:rFonts w:ascii="Times New Roman"/>
          <w:sz w:val="24"/>
        </w:rP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t>⊚</w:t>
        <w:tab/>
        <w:t>true</w:t>
        <w:br/>
      </w:r>
      <w:r>
        <w:rPr>
          <w:rFonts w:ascii="Times New Roman"/>
          <w:sz w:val="24"/>
        </w:rPr>
        <w:tab/>
        <w:t>⊚</w:t>
        <w:tab/>
        <w:t>false</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3)</w:t>
        <w:tab/>
      </w:r>
      <w:r>
        <w:rPr>
          <w:rFonts w:ascii="Times New Roman"/>
          <w:b w:val="false"/>
          <w:i w:val="false"/>
          <w:color w:val="000000"/>
          <w:sz w:val="24"/>
        </w:rPr>
        <w:t>The GAO is limited by statute to performing only compliance audits.</w:t>
      </w:r>
      <w:r>
        <w:rPr>
          <w:rFonts w:ascii="Times New Roman"/>
          <w:sz w:val="24"/>
        </w:rPr>
        <w:br/>
      </w:r>
      <w:r>
        <w:rPr>
          <w:rFonts w:ascii="Times New Roman"/>
          <w:sz w:val="24"/>
        </w:rP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t>⊚</w:t>
        <w:tab/>
        <w:t>true</w:t>
        <w:br/>
      </w:r>
      <w:r>
        <w:rPr>
          <w:rFonts w:ascii="Times New Roman"/>
          <w:sz w:val="24"/>
        </w:rPr>
        <w:tab/>
        <w:t>⊚</w:t>
        <w:tab/>
        <w:t>false</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4)</w:t>
        <w:tab/>
      </w:r>
      <w:r>
        <w:rPr>
          <w:rFonts w:ascii="Times New Roman"/>
          <w:b w:val="false"/>
          <w:i w:val="false"/>
          <w:color w:val="000000"/>
          <w:sz w:val="24"/>
        </w:rPr>
        <w:t xml:space="preserve">The SEC does </w:t>
      </w:r>
      <w:r>
        <w:rPr>
          <w:rFonts w:ascii="Times New Roman"/>
          <w:b w:val="false"/>
          <w:i/>
          <w:color w:val="000000"/>
          <w:sz w:val="24"/>
        </w:rPr>
        <w:t>not</w:t>
      </w:r>
      <w:r>
        <w:rPr>
          <w:rFonts w:ascii="Times New Roman"/>
          <w:b w:val="false"/>
          <w:i w:val="false"/>
          <w:color w:val="000000"/>
          <w:sz w:val="24"/>
        </w:rPr>
        <w:t xml:space="preserve"> pass on the merits of the securities that are registered with the agency.</w:t>
      </w:r>
      <w:r>
        <w:rPr>
          <w:rFonts w:ascii="Times New Roman"/>
          <w:sz w:val="24"/>
        </w:rPr>
        <w:br/>
      </w:r>
      <w:r>
        <w:rPr>
          <w:rFonts w:ascii="Times New Roman"/>
          <w:sz w:val="24"/>
        </w:rP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t>⊚</w:t>
        <w:tab/>
        <w:t>true</w:t>
        <w:br/>
      </w:r>
      <w:r>
        <w:rPr>
          <w:rFonts w:ascii="Times New Roman"/>
          <w:sz w:val="24"/>
        </w:rPr>
        <w:tab/>
        <w:t>⊚</w:t>
        <w:tab/>
        <w:t>false</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5)</w:t>
        <w:tab/>
      </w:r>
      <w:r>
        <w:rPr>
          <w:rFonts w:ascii="Times New Roman"/>
          <w:b w:val="false"/>
          <w:i w:val="false"/>
          <w:color w:val="000000"/>
          <w:sz w:val="24"/>
        </w:rPr>
        <w:t>The American Institute of Certified Public Accountants has the primary authority to establish accounting standards.</w:t>
      </w:r>
      <w:r>
        <w:rPr>
          <w:rFonts w:ascii="Times New Roman"/>
          <w:sz w:val="24"/>
        </w:rPr>
        <w:br/>
      </w:r>
      <w:r>
        <w:rPr>
          <w:rFonts w:ascii="Times New Roman"/>
          <w:sz w:val="24"/>
        </w:rP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t>⊚</w:t>
        <w:tab/>
        <w:t>true</w:t>
        <w:br/>
      </w:r>
      <w:r>
        <w:rPr>
          <w:rFonts w:ascii="Times New Roman"/>
          <w:sz w:val="24"/>
        </w:rPr>
        <w:tab/>
        <w:t>⊚</w:t>
        <w:tab/>
        <w:t>false</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6)</w:t>
        <w:tab/>
      </w:r>
      <w:r>
        <w:rPr>
          <w:rFonts w:ascii="Times New Roman"/>
          <w:b w:val="false"/>
          <w:i w:val="false"/>
          <w:color w:val="000000"/>
          <w:sz w:val="24"/>
        </w:rPr>
        <w:t>When a CPA firm enrolls in the AICPA Peer Review Program, it agrees to comply with the AICPA’s Quality Control Standards and to have a peer review of its accounting and auditing practice every seven years.</w:t>
      </w:r>
      <w:r>
        <w:rPr>
          <w:rFonts w:ascii="Times New Roman"/>
          <w:sz w:val="24"/>
        </w:rPr>
        <w:br/>
      </w:r>
      <w:r>
        <w:rPr>
          <w:rFonts w:ascii="Times New Roman"/>
          <w:sz w:val="24"/>
        </w:rP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t>⊚</w:t>
        <w:tab/>
        <w:t>true</w:t>
        <w:br/>
      </w:r>
      <w:r>
        <w:rPr>
          <w:rFonts w:ascii="Times New Roman"/>
          <w:sz w:val="24"/>
        </w:rPr>
        <w:tab/>
        <w:t>⊚</w:t>
        <w:tab/>
        <w:t>false</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7)</w:t>
        <w:tab/>
      </w:r>
      <w:r>
        <w:rPr>
          <w:rFonts w:ascii="Times New Roman"/>
          <w:b w:val="false"/>
          <w:i w:val="false"/>
          <w:color w:val="000000"/>
          <w:sz w:val="24"/>
        </w:rPr>
        <w:t>Despite the high cost, virtually all small companies have their financial statements audited by a CPA firm, so they can obtain a loan.</w:t>
      </w:r>
      <w:r>
        <w:rPr>
          <w:rFonts w:ascii="Times New Roman"/>
          <w:sz w:val="24"/>
        </w:rPr>
        <w:br/>
      </w:r>
      <w:r>
        <w:rPr>
          <w:rFonts w:ascii="Times New Roman"/>
          <w:sz w:val="24"/>
        </w:rP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t>⊚</w:t>
        <w:tab/>
        <w:t>true</w:t>
        <w:br/>
      </w:r>
      <w:r>
        <w:rPr>
          <w:rFonts w:ascii="Times New Roman"/>
          <w:sz w:val="24"/>
        </w:rPr>
        <w:tab/>
        <w:t>⊚</w:t>
        <w:tab/>
        <w:t>false</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8)</w:t>
        <w:tab/>
      </w:r>
      <w:r>
        <w:rPr>
          <w:rFonts w:ascii="Times New Roman"/>
          <w:b w:val="false"/>
          <w:i w:val="false"/>
          <w:color w:val="000000"/>
          <w:sz w:val="24"/>
        </w:rPr>
        <w:t>Senior auditors in CPA firms may be responsible for planning and coordinating audits on smaller engagements.</w:t>
      </w:r>
      <w:r>
        <w:rPr>
          <w:rFonts w:ascii="Times New Roman"/>
          <w:sz w:val="24"/>
        </w:rPr>
        <w:br/>
      </w:r>
      <w:r>
        <w:rPr>
          <w:rFonts w:ascii="Times New Roman"/>
          <w:sz w:val="24"/>
        </w:rP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t>⊚</w:t>
        <w:tab/>
        <w:t>true</w:t>
        <w:br/>
      </w:r>
      <w:r>
        <w:rPr>
          <w:rFonts w:ascii="Times New Roman"/>
          <w:sz w:val="24"/>
        </w:rPr>
        <w:tab/>
        <w:t>⊚</w:t>
        <w:tab/>
        <w:t>false</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9)</w:t>
        <w:tab/>
      </w:r>
      <w:r>
        <w:rPr>
          <w:rFonts w:ascii="Times New Roman"/>
          <w:b w:val="false"/>
          <w:i w:val="false"/>
          <w:color w:val="000000"/>
          <w:sz w:val="24"/>
        </w:rPr>
        <w:t>The Sarbanes-Oxley Act requires that auditors of certain publicly traded companies in the United States perform an integrated audit that includes providing assurance on both the financial statements and on compliance with laws and regulations.</w:t>
      </w:r>
      <w:r>
        <w:rPr>
          <w:rFonts w:ascii="Times New Roman"/>
          <w:sz w:val="24"/>
        </w:rPr>
        <w:br/>
      </w:r>
      <w:r>
        <w:rPr>
          <w:rFonts w:ascii="Times New Roman"/>
          <w:sz w:val="24"/>
        </w:rP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t>⊚</w:t>
        <w:tab/>
        <w:t>true</w:t>
        <w:br/>
      </w:r>
      <w:r>
        <w:rPr>
          <w:rFonts w:ascii="Times New Roman"/>
          <w:sz w:val="24"/>
        </w:rPr>
        <w:tab/>
        <w:t>⊚</w:t>
        <w:tab/>
        <w:t>false</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10)</w:t>
        <w:tab/>
      </w:r>
      <w:r>
        <w:rPr>
          <w:rFonts w:ascii="Times New Roman"/>
          <w:b w:val="false"/>
          <w:i w:val="false"/>
          <w:color w:val="000000"/>
          <w:sz w:val="24"/>
        </w:rPr>
        <w:t>Auditing is frequently only a small part of the practice of local CPA firms.</w:t>
      </w:r>
      <w:r>
        <w:rPr>
          <w:rFonts w:ascii="Times New Roman"/>
          <w:sz w:val="24"/>
        </w:rPr>
        <w:br/>
      </w:r>
      <w:r>
        <w:rPr>
          <w:rFonts w:ascii="Times New Roman"/>
          <w:sz w:val="24"/>
        </w:rP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t>⊚</w:t>
        <w:tab/>
        <w:t>true</w:t>
        <w:br/>
      </w:r>
      <w:r>
        <w:rPr>
          <w:rFonts w:ascii="Times New Roman"/>
          <w:sz w:val="24"/>
        </w:rPr>
        <w:tab/>
        <w:t>⊚</w:t>
        <w:tab/>
        <w:t>false</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MULTIPLE CHOICE - Choose the one alternative that best completes the statement or answers the question.</w:t>
        <w:br/>
      </w:r>
      <w:r>
        <w:rPr>
          <w:rFonts w:ascii="Times New Roman"/>
          <w:b/>
          <w:sz w:val="24"/>
        </w:rPr>
        <w:t>11)</w:t>
        <w:tab/>
      </w:r>
      <w:r>
        <w:rPr>
          <w:rFonts w:ascii="Times New Roman"/>
          <w:b w:val="false"/>
          <w:i w:val="false"/>
          <w:color w:val="000000"/>
          <w:sz w:val="24"/>
        </w:rPr>
        <w:t>A summary of findings rather than assurance is most likely to be included in a(n):</w:t>
      </w:r>
      <w:r>
        <w:rPr>
          <w:rFonts w:ascii="Times New Roman"/>
          <w:sz w:val="24"/>
        </w:rPr>
        <w:br/>
      </w:r>
      <w:r>
        <w:rPr>
          <w:rFonts w:ascii="Times New Roman"/>
          <w:sz w:val="24"/>
        </w:rP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sz w:val="24"/>
        </w:rPr>
        <w:t>A)   Agreed-upon procedures report.</w:t>
      </w:r>
      <w:r>
        <w:rPr>
          <w:rFonts w:ascii="Times New Roman"/>
          <w:sz w:val="24"/>
        </w:rPr>
        <w:tab/>
        <w:br/>
        <w:tab/>
      </w:r>
      <w:r>
        <w:rPr>
          <w:rFonts w:ascii="Times New Roman"/>
          <w:sz w:val="24"/>
        </w:rPr>
        <w:t>B)   Compilation report.</w:t>
      </w:r>
      <w:r>
        <w:rPr>
          <w:rFonts w:ascii="Times New Roman"/>
          <w:sz w:val="24"/>
        </w:rPr>
        <w:br/>
        <w:tab/>
      </w:r>
      <w:r>
        <w:rPr>
          <w:rFonts w:ascii="Times New Roman"/>
          <w:sz w:val="24"/>
        </w:rPr>
        <w:t>C)   Audit report.</w:t>
      </w:r>
      <w:r>
        <w:rPr>
          <w:rFonts w:ascii="Times New Roman"/>
          <w:sz w:val="24"/>
        </w:rPr>
        <w:br/>
        <w:tab/>
      </w:r>
      <w:r>
        <w:rPr>
          <w:rFonts w:ascii="Times New Roman"/>
          <w:sz w:val="24"/>
        </w:rPr>
        <w:t>D)   Review report.</w:t>
      </w:r>
      <w:r>
        <w:rPr>
          <w:rFonts w:ascii="Times New Roman"/>
          <w:sz w:val="24"/>
        </w:rPr>
        <w:br/>
        <w:tab/>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12)</w:t>
        <w:tab/>
      </w:r>
      <w:r>
        <w:rPr>
          <w:rFonts w:ascii="Times New Roman"/>
          <w:b w:val="false"/>
          <w:i w:val="false"/>
          <w:color w:val="000000"/>
          <w:sz w:val="24"/>
        </w:rPr>
        <w:t>The Statements on Auditing Standards have been issued by the:</w:t>
      </w:r>
      <w:r>
        <w:rPr>
          <w:rFonts w:ascii="Times New Roman"/>
          <w:sz w:val="24"/>
        </w:rPr>
        <w:br/>
      </w:r>
      <w:r>
        <w:rPr>
          <w:rFonts w:ascii="Times New Roman"/>
          <w:sz w:val="24"/>
        </w:rP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sz w:val="24"/>
        </w:rPr>
        <w:t>A)   Auditing Standards Board.</w:t>
      </w:r>
      <w:r>
        <w:rPr>
          <w:rFonts w:ascii="Times New Roman"/>
          <w:sz w:val="24"/>
        </w:rPr>
        <w:tab/>
        <w:br/>
        <w:tab/>
      </w:r>
      <w:r>
        <w:rPr>
          <w:rFonts w:ascii="Times New Roman"/>
          <w:sz w:val="24"/>
        </w:rPr>
        <w:t>B)   Financial Accounting Standards Board.</w:t>
      </w:r>
      <w:r>
        <w:rPr>
          <w:rFonts w:ascii="Times New Roman"/>
          <w:sz w:val="24"/>
        </w:rPr>
        <w:br/>
        <w:tab/>
      </w:r>
      <w:r>
        <w:rPr>
          <w:rFonts w:ascii="Times New Roman"/>
          <w:sz w:val="24"/>
        </w:rPr>
        <w:t>C)   Securities and Exchange Commission.</w:t>
      </w:r>
      <w:r>
        <w:rPr>
          <w:rFonts w:ascii="Times New Roman"/>
          <w:sz w:val="24"/>
        </w:rPr>
        <w:br/>
        <w:tab/>
      </w:r>
      <w:r>
        <w:rPr>
          <w:rFonts w:ascii="Times New Roman"/>
          <w:sz w:val="24"/>
        </w:rPr>
        <w:t>D)   Federal Bureau of Investigation.</w:t>
      </w:r>
      <w:r>
        <w:rPr>
          <w:rFonts w:ascii="Times New Roman"/>
          <w:sz w:val="24"/>
        </w:rPr>
        <w:br/>
        <w:tab/>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13)</w:t>
        <w:tab/>
      </w:r>
      <w:r>
        <w:rPr>
          <w:rFonts w:ascii="Times New Roman"/>
          <w:b w:val="false"/>
          <w:i w:val="false"/>
          <w:color w:val="000000"/>
          <w:sz w:val="24"/>
        </w:rPr>
        <w:t>The risk that a company’s financial statements will materially depart from generally accepted accounting principles is referred to as:</w:t>
      </w:r>
      <w:r>
        <w:rPr>
          <w:rFonts w:ascii="Times New Roman"/>
          <w:sz w:val="24"/>
        </w:rPr>
        <w:br/>
      </w:r>
      <w:r>
        <w:rPr>
          <w:rFonts w:ascii="Times New Roman"/>
          <w:sz w:val="24"/>
        </w:rP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sz w:val="24"/>
        </w:rPr>
        <w:t>A)   Business Risk.</w:t>
      </w:r>
      <w:r>
        <w:rPr>
          <w:rFonts w:ascii="Times New Roman"/>
          <w:sz w:val="24"/>
        </w:rPr>
        <w:tab/>
        <w:br/>
        <w:tab/>
      </w:r>
      <w:r>
        <w:rPr>
          <w:rFonts w:ascii="Times New Roman"/>
          <w:sz w:val="24"/>
        </w:rPr>
        <w:t>B)   Information Risk.</w:t>
      </w:r>
      <w:r>
        <w:rPr>
          <w:rFonts w:ascii="Times New Roman"/>
          <w:sz w:val="24"/>
        </w:rPr>
        <w:br/>
        <w:tab/>
      </w:r>
      <w:r>
        <w:rPr>
          <w:rFonts w:ascii="Times New Roman"/>
          <w:sz w:val="24"/>
        </w:rPr>
        <w:t>C)   Detection Risk.</w:t>
      </w:r>
      <w:r>
        <w:rPr>
          <w:rFonts w:ascii="Times New Roman"/>
          <w:sz w:val="24"/>
        </w:rPr>
        <w:br/>
        <w:tab/>
      </w:r>
      <w:r>
        <w:rPr>
          <w:rFonts w:ascii="Times New Roman"/>
          <w:sz w:val="24"/>
        </w:rPr>
        <w:t>D)   Document Risk.</w:t>
      </w:r>
      <w:r>
        <w:rPr>
          <w:rFonts w:ascii="Times New Roman"/>
          <w:sz w:val="24"/>
        </w:rPr>
        <w:br/>
        <w:tab/>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14)</w:t>
        <w:tab/>
      </w:r>
      <w:r>
        <w:rPr>
          <w:rFonts w:ascii="Times New Roman"/>
          <w:b w:val="false"/>
          <w:i w:val="false"/>
          <w:color w:val="000000"/>
          <w:sz w:val="24"/>
        </w:rPr>
        <w:t xml:space="preserve">Historically, which of the following has the AICPA been </w:t>
      </w:r>
      <w:r>
        <w:rPr>
          <w:rFonts w:ascii="Times New Roman"/>
          <w:b/>
          <w:i w:val="false"/>
          <w:color w:val="000000"/>
          <w:sz w:val="24"/>
        </w:rPr>
        <w:t>most</w:t>
      </w:r>
      <w:r>
        <w:rPr>
          <w:rFonts w:ascii="Times New Roman"/>
          <w:b w:val="false"/>
          <w:i w:val="false"/>
          <w:color w:val="000000"/>
          <w:sz w:val="24"/>
        </w:rPr>
        <w:t xml:space="preserve"> concerned with providing?</w:t>
      </w:r>
      <w:r>
        <w:rPr>
          <w:rFonts w:ascii="Times New Roman"/>
          <w:sz w:val="24"/>
        </w:rPr>
        <w:br/>
      </w:r>
      <w:r>
        <w:rPr>
          <w:rFonts w:ascii="Times New Roman"/>
          <w:sz w:val="24"/>
        </w:rP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sz w:val="24"/>
        </w:rPr>
        <w:t>A)   Auditing standards.</w:t>
      </w:r>
      <w:r>
        <w:rPr>
          <w:rFonts w:ascii="Times New Roman"/>
          <w:sz w:val="24"/>
        </w:rPr>
        <w:tab/>
        <w:br/>
        <w:tab/>
      </w:r>
      <w:r>
        <w:rPr>
          <w:rFonts w:ascii="Times New Roman"/>
          <w:sz w:val="24"/>
        </w:rPr>
        <w:t>B)   Professional guidance for regulating financial markets.</w:t>
      </w:r>
      <w:r>
        <w:rPr>
          <w:rFonts w:ascii="Times New Roman"/>
          <w:sz w:val="24"/>
        </w:rPr>
        <w:br/>
        <w:tab/>
      </w:r>
      <w:r>
        <w:rPr>
          <w:rFonts w:ascii="Times New Roman"/>
          <w:sz w:val="24"/>
        </w:rPr>
        <w:t>C)   Internal auditing standards.</w:t>
      </w:r>
      <w:r>
        <w:rPr>
          <w:rFonts w:ascii="Times New Roman"/>
          <w:sz w:val="24"/>
        </w:rPr>
        <w:br/>
        <w:tab/>
      </w:r>
      <w:r>
        <w:rPr>
          <w:rFonts w:ascii="Times New Roman"/>
          <w:sz w:val="24"/>
        </w:rPr>
        <w:t>D)   Staff support to Congress.</w:t>
      </w:r>
      <w:r>
        <w:rPr>
          <w:rFonts w:ascii="Times New Roman"/>
          <w:sz w:val="24"/>
        </w:rPr>
        <w:br/>
        <w:tab/>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15)</w:t>
        <w:tab/>
      </w:r>
      <w:r>
        <w:rPr>
          <w:rFonts w:ascii="Times New Roman"/>
          <w:b w:val="false"/>
          <w:i w:val="false"/>
          <w:color w:val="000000"/>
          <w:sz w:val="24"/>
        </w:rPr>
        <w:t>The organization charged with protecting investors and the public by requiring full disclosure of financial information by companies offering securities to the public is the:</w:t>
      </w:r>
      <w:r>
        <w:rPr>
          <w:rFonts w:ascii="Times New Roman"/>
          <w:sz w:val="24"/>
        </w:rPr>
        <w:br/>
      </w:r>
      <w:r>
        <w:rPr>
          <w:rFonts w:ascii="Times New Roman"/>
          <w:sz w:val="24"/>
        </w:rP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sz w:val="24"/>
        </w:rPr>
        <w:t>A)   Auditing Standards Board.</w:t>
      </w:r>
      <w:r>
        <w:rPr>
          <w:rFonts w:ascii="Times New Roman"/>
          <w:sz w:val="24"/>
        </w:rPr>
        <w:tab/>
        <w:br/>
        <w:tab/>
      </w:r>
      <w:r>
        <w:rPr>
          <w:rFonts w:ascii="Times New Roman"/>
          <w:sz w:val="24"/>
        </w:rPr>
        <w:t>B)   Financial Accounting Standards Board.</w:t>
      </w:r>
      <w:r>
        <w:rPr>
          <w:rFonts w:ascii="Times New Roman"/>
          <w:sz w:val="24"/>
        </w:rPr>
        <w:br/>
        <w:tab/>
      </w:r>
      <w:r>
        <w:rPr>
          <w:rFonts w:ascii="Times New Roman"/>
          <w:sz w:val="24"/>
        </w:rPr>
        <w:t>C)   Government Accounting Standards Boards.</w:t>
      </w:r>
      <w:r>
        <w:rPr>
          <w:rFonts w:ascii="Times New Roman"/>
          <w:sz w:val="24"/>
        </w:rPr>
        <w:br/>
        <w:tab/>
      </w:r>
      <w:r>
        <w:rPr>
          <w:rFonts w:ascii="Times New Roman"/>
          <w:sz w:val="24"/>
        </w:rPr>
        <w:t>D)   Securities and Exchange Commission.</w:t>
      </w:r>
      <w:r>
        <w:rPr>
          <w:rFonts w:ascii="Times New Roman"/>
          <w:sz w:val="24"/>
        </w:rPr>
        <w:br/>
        <w:tab/>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16)</w:t>
        <w:tab/>
      </w:r>
      <w:r>
        <w:rPr>
          <w:rFonts w:ascii="Times New Roman"/>
          <w:b w:val="false"/>
          <w:i w:val="false"/>
          <w:color w:val="000000"/>
          <w:sz w:val="24"/>
        </w:rPr>
        <w:t>An engagement in which a CPA firm arranges for a critical review of its practices by another CPA firm is referred to as a(n):</w:t>
      </w:r>
      <w:r>
        <w:rPr>
          <w:rFonts w:ascii="Times New Roman"/>
          <w:sz w:val="24"/>
        </w:rPr>
        <w:br/>
      </w:r>
      <w:r>
        <w:rPr>
          <w:rFonts w:ascii="Times New Roman"/>
          <w:sz w:val="24"/>
        </w:rP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sz w:val="24"/>
        </w:rPr>
        <w:t>A)   Peer Review Engagement.</w:t>
      </w:r>
      <w:r>
        <w:rPr>
          <w:rFonts w:ascii="Times New Roman"/>
          <w:sz w:val="24"/>
        </w:rPr>
        <w:tab/>
        <w:br/>
        <w:tab/>
      </w:r>
      <w:r>
        <w:rPr>
          <w:rFonts w:ascii="Times New Roman"/>
          <w:sz w:val="24"/>
        </w:rPr>
        <w:t>B)   Quality Control Engagement.</w:t>
      </w:r>
      <w:r>
        <w:rPr>
          <w:rFonts w:ascii="Times New Roman"/>
          <w:sz w:val="24"/>
        </w:rPr>
        <w:br/>
        <w:tab/>
      </w:r>
      <w:r>
        <w:rPr>
          <w:rFonts w:ascii="Times New Roman"/>
          <w:sz w:val="24"/>
        </w:rPr>
        <w:t>C)   Quality Assurance Engagement.</w:t>
      </w:r>
      <w:r>
        <w:rPr>
          <w:rFonts w:ascii="Times New Roman"/>
          <w:sz w:val="24"/>
        </w:rPr>
        <w:br/>
        <w:tab/>
      </w:r>
      <w:r>
        <w:rPr>
          <w:rFonts w:ascii="Times New Roman"/>
          <w:sz w:val="24"/>
        </w:rPr>
        <w:t>D)   Attestation Engagement.</w:t>
      </w:r>
      <w:r>
        <w:rPr>
          <w:rFonts w:ascii="Times New Roman"/>
          <w:sz w:val="24"/>
        </w:rPr>
        <w:br/>
        <w:tab/>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17)</w:t>
        <w:tab/>
      </w:r>
      <w:r>
        <w:rPr>
          <w:rFonts w:ascii="Times New Roman"/>
          <w:b w:val="false"/>
          <w:i w:val="false"/>
          <w:color w:val="000000"/>
          <w:sz w:val="24"/>
        </w:rPr>
        <w:t>The sequentially-numbered pronouncements issued by the Auditing Standards Board over a period of years are known as:</w:t>
      </w:r>
      <w:r>
        <w:rPr>
          <w:rFonts w:ascii="Times New Roman"/>
          <w:sz w:val="24"/>
        </w:rPr>
        <w:br/>
      </w:r>
      <w:r>
        <w:rPr>
          <w:rFonts w:ascii="Times New Roman"/>
          <w:sz w:val="24"/>
        </w:rP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sz w:val="24"/>
        </w:rPr>
        <w:t>A)   Auditing Statements of Position (ASPs).</w:t>
      </w:r>
      <w:r>
        <w:rPr>
          <w:rFonts w:ascii="Times New Roman"/>
          <w:sz w:val="24"/>
        </w:rPr>
        <w:tab/>
        <w:br/>
        <w:tab/>
      </w:r>
      <w:r>
        <w:rPr>
          <w:rFonts w:ascii="Times New Roman"/>
          <w:sz w:val="24"/>
        </w:rPr>
        <w:t>B)   Accounting Series Releases (ASRs).</w:t>
      </w:r>
      <w:r>
        <w:rPr>
          <w:rFonts w:ascii="Times New Roman"/>
          <w:sz w:val="24"/>
        </w:rPr>
        <w:br/>
        <w:tab/>
      </w:r>
      <w:r>
        <w:rPr>
          <w:rFonts w:ascii="Times New Roman"/>
          <w:sz w:val="24"/>
        </w:rPr>
        <w:t>C)   Statements on Auditing Standards (SASs).</w:t>
      </w:r>
      <w:r>
        <w:rPr>
          <w:rFonts w:ascii="Times New Roman"/>
          <w:sz w:val="24"/>
        </w:rPr>
        <w:br/>
        <w:tab/>
      </w:r>
      <w:r>
        <w:rPr>
          <w:rFonts w:ascii="Times New Roman"/>
          <w:sz w:val="24"/>
        </w:rPr>
        <w:t>D)   Statements on Auditing Principles (SAPs).</w:t>
      </w:r>
      <w:r>
        <w:rPr>
          <w:rFonts w:ascii="Times New Roman"/>
          <w:sz w:val="24"/>
        </w:rPr>
        <w:br/>
        <w:tab/>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18)</w:t>
        <w:tab/>
      </w:r>
      <w:r>
        <w:rPr>
          <w:rFonts w:ascii="Times New Roman"/>
          <w:b w:val="false"/>
          <w:i w:val="false"/>
          <w:color w:val="000000"/>
          <w:sz w:val="24"/>
        </w:rPr>
        <w:t>Government Accountability Office (GAO):</w:t>
      </w:r>
      <w:r>
        <w:rPr>
          <w:rFonts w:ascii="Times New Roman"/>
          <w:sz w:val="24"/>
        </w:rPr>
        <w:br/>
      </w:r>
      <w:r>
        <w:rPr>
          <w:rFonts w:ascii="Times New Roman"/>
          <w:sz w:val="24"/>
        </w:rP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sz w:val="24"/>
        </w:rPr>
        <w:t>A)   is primarily concerned with rapid processing of all accounts payable incurred by the federal government.</w:t>
      </w:r>
      <w:r>
        <w:rPr>
          <w:rFonts w:ascii="Times New Roman"/>
          <w:sz w:val="24"/>
        </w:rPr>
        <w:tab/>
        <w:br/>
        <w:tab/>
      </w:r>
      <w:r>
        <w:rPr>
          <w:rFonts w:ascii="Times New Roman"/>
          <w:sz w:val="24"/>
        </w:rPr>
        <w:t>B)   responsibilities include audits of government agencies.</w:t>
      </w:r>
      <w:r>
        <w:rPr>
          <w:rFonts w:ascii="Times New Roman"/>
          <w:sz w:val="24"/>
        </w:rPr>
        <w:br/>
        <w:tab/>
      </w:r>
      <w:r>
        <w:rPr>
          <w:rFonts w:ascii="Times New Roman"/>
          <w:sz w:val="24"/>
        </w:rPr>
        <w:t>C)   is an organization of professional accountants whose primary interest is in the effectiveness of presidential expenditures.</w:t>
      </w:r>
      <w:r>
        <w:rPr>
          <w:rFonts w:ascii="Times New Roman"/>
          <w:sz w:val="24"/>
        </w:rPr>
        <w:br/>
        <w:tab/>
      </w:r>
      <w:r>
        <w:rPr>
          <w:rFonts w:ascii="Times New Roman"/>
          <w:sz w:val="24"/>
        </w:rPr>
        <w:t>D)   is primarily concerned with budgets and forecasts approved by the PCAOB.</w:t>
      </w:r>
      <w:r>
        <w:rPr>
          <w:rFonts w:ascii="Times New Roman"/>
          <w:sz w:val="24"/>
        </w:rPr>
        <w:br/>
        <w:tab/>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19)</w:t>
        <w:tab/>
      </w:r>
      <w:r>
        <w:rPr>
          <w:rFonts w:ascii="Times New Roman"/>
          <w:b w:val="false"/>
          <w:i w:val="false"/>
          <w:color w:val="000000"/>
          <w:sz w:val="24"/>
        </w:rPr>
        <w:t>The risk associated with survivability and profitability is referred to as:</w:t>
      </w:r>
      <w:r>
        <w:rPr>
          <w:rFonts w:ascii="Times New Roman"/>
          <w:sz w:val="24"/>
        </w:rPr>
        <w:br/>
      </w:r>
      <w:r>
        <w:rPr>
          <w:rFonts w:ascii="Times New Roman"/>
          <w:sz w:val="24"/>
        </w:rP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sz w:val="24"/>
        </w:rPr>
        <w:t>A)   Information risk.</w:t>
      </w:r>
      <w:r>
        <w:rPr>
          <w:rFonts w:ascii="Times New Roman"/>
          <w:sz w:val="24"/>
        </w:rPr>
        <w:tab/>
        <w:br/>
        <w:tab/>
      </w:r>
      <w:r>
        <w:rPr>
          <w:rFonts w:ascii="Times New Roman"/>
          <w:sz w:val="24"/>
        </w:rPr>
        <w:t>B)   Inherent risk.</w:t>
      </w:r>
      <w:r>
        <w:rPr>
          <w:rFonts w:ascii="Times New Roman"/>
          <w:sz w:val="24"/>
        </w:rPr>
        <w:br/>
        <w:tab/>
      </w:r>
      <w:r>
        <w:rPr>
          <w:rFonts w:ascii="Times New Roman"/>
          <w:sz w:val="24"/>
        </w:rPr>
        <w:t>C)   Relative risk.</w:t>
      </w:r>
      <w:r>
        <w:rPr>
          <w:rFonts w:ascii="Times New Roman"/>
          <w:sz w:val="24"/>
        </w:rPr>
        <w:br/>
        <w:tab/>
      </w:r>
      <w:r>
        <w:rPr>
          <w:rFonts w:ascii="Times New Roman"/>
          <w:sz w:val="24"/>
        </w:rPr>
        <w:t>D)   Business risk.</w:t>
      </w:r>
      <w:r>
        <w:rPr>
          <w:rFonts w:ascii="Times New Roman"/>
          <w:sz w:val="24"/>
        </w:rPr>
        <w:br/>
        <w:tab/>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20)</w:t>
        <w:tab/>
      </w:r>
      <w:r>
        <w:rPr>
          <w:rFonts w:ascii="Times New Roman"/>
          <w:b w:val="false"/>
          <w:i w:val="false"/>
          <w:color w:val="000000"/>
          <w:sz w:val="24"/>
        </w:rPr>
        <w:t xml:space="preserve">The risk that a company will </w:t>
      </w:r>
      <w:r>
        <w:rPr>
          <w:rFonts w:ascii="Times New Roman"/>
          <w:b w:val="false"/>
          <w:i/>
          <w:color w:val="000000"/>
          <w:sz w:val="24"/>
        </w:rPr>
        <w:t>not</w:t>
      </w:r>
      <w:r>
        <w:rPr>
          <w:rFonts w:ascii="Times New Roman"/>
          <w:b w:val="false"/>
          <w:i w:val="false"/>
          <w:color w:val="000000"/>
          <w:sz w:val="24"/>
        </w:rPr>
        <w:t xml:space="preserve"> be able to meet its obligations when they become due is an aspect of:</w:t>
      </w:r>
      <w:r>
        <w:rPr>
          <w:rFonts w:ascii="Times New Roman"/>
          <w:sz w:val="24"/>
        </w:rPr>
        <w:br/>
      </w:r>
      <w:r>
        <w:rPr>
          <w:rFonts w:ascii="Times New Roman"/>
          <w:sz w:val="24"/>
        </w:rP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sz w:val="24"/>
        </w:rPr>
        <w:t>A)   Information risk.</w:t>
      </w:r>
      <w:r>
        <w:rPr>
          <w:rFonts w:ascii="Times New Roman"/>
          <w:sz w:val="24"/>
        </w:rPr>
        <w:tab/>
        <w:br/>
        <w:tab/>
      </w:r>
      <w:r>
        <w:rPr>
          <w:rFonts w:ascii="Times New Roman"/>
          <w:sz w:val="24"/>
        </w:rPr>
        <w:t>B)   Inherent risk.</w:t>
      </w:r>
      <w:r>
        <w:rPr>
          <w:rFonts w:ascii="Times New Roman"/>
          <w:sz w:val="24"/>
        </w:rPr>
        <w:br/>
        <w:tab/>
      </w:r>
      <w:r>
        <w:rPr>
          <w:rFonts w:ascii="Times New Roman"/>
          <w:sz w:val="24"/>
        </w:rPr>
        <w:t>C)   Relative risk.</w:t>
      </w:r>
      <w:r>
        <w:rPr>
          <w:rFonts w:ascii="Times New Roman"/>
          <w:sz w:val="24"/>
        </w:rPr>
        <w:br/>
        <w:tab/>
      </w:r>
      <w:r>
        <w:rPr>
          <w:rFonts w:ascii="Times New Roman"/>
          <w:sz w:val="24"/>
        </w:rPr>
        <w:t>D)   Business risk.</w:t>
      </w:r>
      <w:r>
        <w:rPr>
          <w:rFonts w:ascii="Times New Roman"/>
          <w:sz w:val="24"/>
        </w:rPr>
        <w:br/>
        <w:tab/>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21)</w:t>
        <w:tab/>
      </w:r>
      <w:r>
        <w:rPr>
          <w:rFonts w:ascii="Times New Roman"/>
          <w:b w:val="false"/>
          <w:i w:val="false"/>
          <w:color w:val="000000"/>
          <w:sz w:val="24"/>
        </w:rPr>
        <w:t>Which of the following attributes is more essential for an auditor than of management?</w:t>
      </w:r>
      <w:r>
        <w:rPr>
          <w:rFonts w:ascii="Times New Roman"/>
          <w:sz w:val="24"/>
        </w:rPr>
        <w:br/>
      </w:r>
      <w:r>
        <w:rPr>
          <w:rFonts w:ascii="Times New Roman"/>
          <w:sz w:val="24"/>
        </w:rP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sz w:val="24"/>
        </w:rPr>
        <w:t>A)   Integrity.</w:t>
      </w:r>
      <w:r>
        <w:rPr>
          <w:rFonts w:ascii="Times New Roman"/>
          <w:sz w:val="24"/>
        </w:rPr>
        <w:tab/>
        <w:br/>
        <w:tab/>
      </w:r>
      <w:r>
        <w:rPr>
          <w:rFonts w:ascii="Times New Roman"/>
          <w:sz w:val="24"/>
        </w:rPr>
        <w:t>B)   Competence.</w:t>
      </w:r>
      <w:r>
        <w:rPr>
          <w:rFonts w:ascii="Times New Roman"/>
          <w:sz w:val="24"/>
        </w:rPr>
        <w:br/>
        <w:tab/>
      </w:r>
      <w:r>
        <w:rPr>
          <w:rFonts w:ascii="Times New Roman"/>
          <w:sz w:val="24"/>
        </w:rPr>
        <w:t>C)   Independence.</w:t>
      </w:r>
      <w:r>
        <w:rPr>
          <w:rFonts w:ascii="Times New Roman"/>
          <w:sz w:val="24"/>
        </w:rPr>
        <w:br/>
        <w:tab/>
      </w:r>
      <w:r>
        <w:rPr>
          <w:rFonts w:ascii="Times New Roman"/>
          <w:sz w:val="24"/>
        </w:rPr>
        <w:t>D)   Keeping informed on current professional developments.</w:t>
      </w:r>
      <w:r>
        <w:rPr>
          <w:rFonts w:ascii="Times New Roman"/>
          <w:sz w:val="24"/>
        </w:rPr>
        <w:br/>
        <w:tab/>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22)</w:t>
        <w:tab/>
      </w:r>
      <w:r>
        <w:rPr>
          <w:rFonts w:ascii="Times New Roman"/>
          <w:b w:val="false"/>
          <w:i w:val="false"/>
          <w:color w:val="000000"/>
          <w:sz w:val="24"/>
        </w:rPr>
        <w:t>The attest function:</w:t>
      </w:r>
      <w:r>
        <w:rPr>
          <w:rFonts w:ascii="Times New Roman"/>
          <w:sz w:val="24"/>
        </w:rPr>
        <w:br/>
      </w:r>
      <w:r>
        <w:rPr>
          <w:rFonts w:ascii="Times New Roman"/>
          <w:sz w:val="24"/>
        </w:rP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sz w:val="24"/>
        </w:rPr>
        <w:t>A)   Is an essential part of every engagement by the CPA, whether performing auditing, tax work, or other services.</w:t>
      </w:r>
      <w:r>
        <w:rPr>
          <w:rFonts w:ascii="Times New Roman"/>
          <w:sz w:val="24"/>
        </w:rPr>
        <w:tab/>
        <w:br/>
        <w:tab/>
      </w:r>
      <w:r>
        <w:rPr>
          <w:rFonts w:ascii="Times New Roman"/>
          <w:b w:val="false"/>
          <w:i w:val="false"/>
          <w:color w:val="000000"/>
          <w:sz w:val="24"/>
        </w:rPr>
        <w:t>B)   Includes the preparation of a report of the CPA's findings.</w:t>
      </w:r>
      <w:r>
        <w:rPr>
          <w:rFonts w:ascii="Times New Roman"/>
          <w:sz w:val="24"/>
        </w:rPr>
      </w:r>
      <w:r>
        <w:rPr>
          <w:rFonts w:ascii="Times New Roman"/>
          <w:sz w:val="24"/>
        </w:rPr>
        <w:br/>
        <w:tab/>
      </w:r>
      <w:r>
        <w:rPr>
          <w:rFonts w:ascii="Times New Roman"/>
          <w:sz w:val="24"/>
        </w:rPr>
        <w:t>C)   Requires a consideration of internal control.</w:t>
      </w:r>
      <w:r>
        <w:rPr>
          <w:rFonts w:ascii="Times New Roman"/>
          <w:sz w:val="24"/>
        </w:rPr>
        <w:br/>
        <w:tab/>
      </w:r>
      <w:r>
        <w:rPr>
          <w:rFonts w:ascii="Times New Roman"/>
          <w:sz w:val="24"/>
        </w:rPr>
        <w:t>D)   Requires a complete review of all transactions during the period under examination.</w:t>
      </w:r>
      <w:r>
        <w:rPr>
          <w:rFonts w:ascii="Times New Roman"/>
          <w:sz w:val="24"/>
        </w:rPr>
        <w:br/>
        <w:tab/>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23)</w:t>
        <w:tab/>
      </w:r>
      <w:r>
        <w:rPr>
          <w:rFonts w:ascii="Times New Roman"/>
          <w:b w:val="false"/>
          <w:i w:val="false"/>
          <w:color w:val="000000"/>
          <w:sz w:val="24"/>
        </w:rPr>
        <w:t>Attestation risk is limited to a low level in which of the following engagement(s)?</w:t>
      </w:r>
      <w:r>
        <w:rPr>
          <w:rFonts w:ascii="Times New Roman"/>
          <w:sz w:val="24"/>
        </w:rPr>
        <w:br/>
      </w:r>
      <w:r>
        <w:rPr>
          <w:rFonts w:ascii="Times New Roman"/>
          <w:sz w:val="24"/>
        </w:rP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sz w:val="24"/>
        </w:rPr>
        <w:t>A)   Both examinations and reviews.</w:t>
      </w:r>
      <w:r>
        <w:rPr>
          <w:rFonts w:ascii="Times New Roman"/>
          <w:sz w:val="24"/>
        </w:rPr>
        <w:tab/>
        <w:br/>
        <w:tab/>
      </w:r>
      <w:r>
        <w:rPr>
          <w:rFonts w:ascii="Times New Roman"/>
          <w:sz w:val="24"/>
        </w:rPr>
        <w:t>B)   Examinations, but not reviews.</w:t>
      </w:r>
      <w:r>
        <w:rPr>
          <w:rFonts w:ascii="Times New Roman"/>
          <w:sz w:val="24"/>
        </w:rPr>
        <w:br/>
        <w:tab/>
      </w:r>
      <w:r>
        <w:rPr>
          <w:rFonts w:ascii="Times New Roman"/>
          <w:sz w:val="24"/>
        </w:rPr>
        <w:t>C)   Reviews, but not examinations.</w:t>
      </w:r>
      <w:r>
        <w:rPr>
          <w:rFonts w:ascii="Times New Roman"/>
          <w:sz w:val="24"/>
        </w:rPr>
        <w:br/>
        <w:tab/>
      </w:r>
      <w:r>
        <w:rPr>
          <w:rFonts w:ascii="Times New Roman"/>
          <w:sz w:val="24"/>
        </w:rPr>
        <w:t>D)   Neither examinations nor reviews.</w:t>
      </w:r>
      <w:r>
        <w:rPr>
          <w:rFonts w:ascii="Times New Roman"/>
          <w:sz w:val="24"/>
        </w:rPr>
        <w:br/>
        <w:tab/>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24)</w:t>
        <w:tab/>
      </w:r>
      <w:r>
        <w:rPr>
          <w:rFonts w:ascii="Times New Roman"/>
          <w:b w:val="false"/>
          <w:i w:val="false"/>
          <w:color w:val="000000"/>
          <w:sz w:val="24"/>
        </w:rPr>
        <w:t>When compared to an audit performed prior to 1900, an audit today:</w:t>
      </w:r>
      <w:r>
        <w:rPr>
          <w:rFonts w:ascii="Times New Roman"/>
          <w:sz w:val="24"/>
        </w:rPr>
        <w:br/>
      </w:r>
      <w:r>
        <w:rPr>
          <w:rFonts w:ascii="Times New Roman"/>
          <w:sz w:val="24"/>
        </w:rP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sz w:val="24"/>
        </w:rPr>
        <w:t>A)   Is more likely to use sampling in more areas.</w:t>
      </w:r>
      <w:r>
        <w:rPr>
          <w:rFonts w:ascii="Times New Roman"/>
          <w:sz w:val="24"/>
        </w:rPr>
        <w:tab/>
        <w:br/>
        <w:tab/>
      </w:r>
      <w:r>
        <w:rPr>
          <w:rFonts w:ascii="Times New Roman"/>
          <w:sz w:val="24"/>
        </w:rPr>
        <w:t>B)   Is less likely to include consideration of the effectiveness of internal control.</w:t>
      </w:r>
      <w:r>
        <w:rPr>
          <w:rFonts w:ascii="Times New Roman"/>
          <w:sz w:val="24"/>
        </w:rPr>
        <w:br/>
        <w:tab/>
      </w:r>
      <w:r>
        <w:rPr>
          <w:rFonts w:ascii="Times New Roman"/>
          <w:sz w:val="24"/>
        </w:rPr>
        <w:t>C)   Has bank loan officers as the primary financial statement user group.</w:t>
      </w:r>
      <w:r>
        <w:rPr>
          <w:rFonts w:ascii="Times New Roman"/>
          <w:sz w:val="24"/>
        </w:rPr>
        <w:br/>
        <w:tab/>
      </w:r>
      <w:r>
        <w:rPr>
          <w:rFonts w:ascii="Times New Roman"/>
          <w:sz w:val="24"/>
        </w:rPr>
        <w:t>D)   Includes a more detailed examination of all individual transactions.</w:t>
      </w:r>
      <w:r>
        <w:rPr>
          <w:rFonts w:ascii="Times New Roman"/>
          <w:sz w:val="24"/>
        </w:rPr>
        <w:br/>
        <w:tab/>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25)</w:t>
        <w:tab/>
      </w:r>
      <w:r>
        <w:rPr>
          <w:rFonts w:ascii="Times New Roman"/>
          <w:b w:val="false"/>
          <w:i w:val="false"/>
          <w:color w:val="000000"/>
          <w:sz w:val="24"/>
        </w:rPr>
        <w:t>Which of the following series of pronouncements are issued by the Securities and Exchange Commission?</w:t>
      </w:r>
      <w:r>
        <w:rPr>
          <w:rFonts w:ascii="Times New Roman"/>
          <w:sz w:val="24"/>
        </w:rPr>
        <w:br/>
      </w:r>
      <w:r>
        <w:rPr>
          <w:rFonts w:ascii="Times New Roman"/>
          <w:sz w:val="24"/>
        </w:rP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sz w:val="24"/>
        </w:rPr>
        <w:t>A)   Auditing RegistrarReleases.</w:t>
      </w:r>
      <w:r>
        <w:rPr>
          <w:rFonts w:ascii="Times New Roman"/>
          <w:sz w:val="24"/>
        </w:rPr>
        <w:tab/>
        <w:br/>
        <w:tab/>
      </w:r>
      <w:r>
        <w:rPr>
          <w:rFonts w:ascii="Times New Roman"/>
          <w:sz w:val="24"/>
        </w:rPr>
        <w:t>B)   Form S-1.</w:t>
      </w:r>
      <w:r>
        <w:rPr>
          <w:rFonts w:ascii="Times New Roman"/>
          <w:sz w:val="24"/>
        </w:rPr>
        <w:br/>
        <w:tab/>
      </w:r>
      <w:r>
        <w:rPr>
          <w:rFonts w:ascii="Times New Roman"/>
          <w:sz w:val="24"/>
        </w:rPr>
        <w:t>C)   Accounting and Auditing Enforcement Releases.</w:t>
      </w:r>
      <w:r>
        <w:rPr>
          <w:rFonts w:ascii="Times New Roman"/>
          <w:sz w:val="24"/>
        </w:rPr>
        <w:br/>
        <w:tab/>
      </w:r>
      <w:r>
        <w:rPr>
          <w:rFonts w:ascii="Times New Roman"/>
          <w:sz w:val="24"/>
        </w:rPr>
        <w:t>D)   Statements of Position.</w:t>
      </w:r>
      <w:r>
        <w:rPr>
          <w:rFonts w:ascii="Times New Roman"/>
          <w:sz w:val="24"/>
        </w:rPr>
        <w:br/>
        <w:tab/>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26)</w:t>
        <w:tab/>
      </w:r>
      <w:r>
        <w:rPr>
          <w:rFonts w:ascii="Times New Roman"/>
          <w:b w:val="false"/>
          <w:i w:val="false"/>
          <w:color w:val="000000"/>
          <w:sz w:val="24"/>
        </w:rPr>
        <w:t xml:space="preserve">Which of the following is </w:t>
      </w:r>
      <w:r>
        <w:rPr>
          <w:rFonts w:ascii="Times New Roman"/>
          <w:b w:val="false"/>
          <w:i/>
          <w:color w:val="000000"/>
          <w:sz w:val="24"/>
        </w:rPr>
        <w:t>not</w:t>
      </w:r>
      <w:r>
        <w:rPr>
          <w:rFonts w:ascii="Times New Roman"/>
          <w:b w:val="false"/>
          <w:i w:val="false"/>
          <w:color w:val="000000"/>
          <w:sz w:val="24"/>
        </w:rPr>
        <w:t xml:space="preserve"> correct relating to the Sarbanes-Oxley Act?</w:t>
      </w:r>
      <w:r>
        <w:rPr>
          <w:rFonts w:ascii="Times New Roman"/>
          <w:sz w:val="24"/>
        </w:rPr>
        <w:br/>
      </w:r>
      <w:r>
        <w:rPr>
          <w:rFonts w:ascii="Times New Roman"/>
          <w:sz w:val="24"/>
        </w:rP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sz w:val="24"/>
        </w:rPr>
        <w:t>A)   It toughens penalties for corporate fraud.</w:t>
      </w:r>
      <w:r>
        <w:rPr>
          <w:rFonts w:ascii="Times New Roman"/>
          <w:sz w:val="24"/>
        </w:rPr>
        <w:tab/>
        <w:br/>
        <w:tab/>
      </w:r>
      <w:r>
        <w:rPr>
          <w:rFonts w:ascii="Times New Roman"/>
          <w:sz w:val="24"/>
        </w:rPr>
        <w:t>B)   It restricts the types of consulting CPAs may perform for audit clients.</w:t>
      </w:r>
      <w:r>
        <w:rPr>
          <w:rFonts w:ascii="Times New Roman"/>
          <w:sz w:val="24"/>
        </w:rPr>
        <w:br/>
        <w:tab/>
      </w:r>
      <w:r>
        <w:rPr>
          <w:rFonts w:ascii="Times New Roman"/>
          <w:sz w:val="24"/>
        </w:rPr>
        <w:t>C)   It maintains identical requirements for large and small public companies.</w:t>
      </w:r>
      <w:r>
        <w:rPr>
          <w:rFonts w:ascii="Times New Roman"/>
          <w:sz w:val="24"/>
        </w:rPr>
        <w:br/>
        <w:tab/>
      </w:r>
      <w:r>
        <w:rPr>
          <w:rFonts w:ascii="Times New Roman"/>
          <w:b w:val="false"/>
          <w:i w:val="false"/>
          <w:color w:val="000000"/>
          <w:sz w:val="24"/>
        </w:rPr>
        <w:t>D)   It eliminates a significant portion of the AICPA’s system of self-regulation.</w:t>
      </w:r>
      <w:r>
        <w:rPr>
          <w:rFonts w:ascii="Times New Roman"/>
          <w:sz w:val="24"/>
        </w:rPr>
      </w:r>
      <w:r>
        <w:rPr>
          <w:rFonts w:ascii="Times New Roman"/>
          <w:sz w:val="24"/>
        </w:rPr>
        <w:br/>
        <w:tab/>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27)</w:t>
        <w:tab/>
      </w:r>
      <w:r>
        <w:rPr>
          <w:rFonts w:ascii="Times New Roman"/>
          <w:b w:val="false"/>
          <w:i w:val="false"/>
          <w:color w:val="000000"/>
          <w:sz w:val="24"/>
        </w:rPr>
        <w:t>An operational audit differs in many ways from an audit of financial statements. Which of the following is the best example of one of these differences?</w:t>
      </w:r>
      <w:r>
        <w:rPr>
          <w:rFonts w:ascii="Times New Roman"/>
          <w:sz w:val="24"/>
        </w:rPr>
        <w:br/>
      </w:r>
      <w:r>
        <w:rPr>
          <w:rFonts w:ascii="Times New Roman"/>
          <w:sz w:val="24"/>
        </w:rP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sz w:val="24"/>
        </w:rPr>
        <w:t>A)   The usual audit of financial statements covers the four basic statements, whereas the operational audit is usually limited to either the balance sheet or the income statement.</w:t>
      </w:r>
      <w:r>
        <w:rPr>
          <w:rFonts w:ascii="Times New Roman"/>
          <w:sz w:val="24"/>
        </w:rPr>
        <w:tab/>
        <w:br/>
        <w:tab/>
      </w:r>
      <w:r>
        <w:rPr>
          <w:rFonts w:ascii="Times New Roman"/>
          <w:sz w:val="24"/>
        </w:rPr>
        <w:t>B)   Operational audits are more subjective and often involve evaluating efficiency and effectiveness of operations.</w:t>
      </w:r>
      <w:r>
        <w:rPr>
          <w:rFonts w:ascii="Times New Roman"/>
          <w:sz w:val="24"/>
        </w:rPr>
        <w:br/>
        <w:tab/>
      </w:r>
      <w:r>
        <w:rPr>
          <w:rFonts w:ascii="Times New Roman"/>
          <w:sz w:val="24"/>
        </w:rPr>
        <w:t>C)   Operational audits do not ordinarily result in the preparation of a report.</w:t>
      </w:r>
      <w:r>
        <w:rPr>
          <w:rFonts w:ascii="Times New Roman"/>
          <w:sz w:val="24"/>
        </w:rPr>
        <w:br/>
        <w:tab/>
      </w:r>
      <w:r>
        <w:rPr>
          <w:rFonts w:ascii="Times New Roman"/>
          <w:sz w:val="24"/>
        </w:rPr>
        <w:t>D)   The operational audit deals with pre-tax income.</w:t>
      </w:r>
      <w:r>
        <w:rPr>
          <w:rFonts w:ascii="Times New Roman"/>
          <w:sz w:val="24"/>
        </w:rPr>
        <w:br/>
        <w:tab/>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28)</w:t>
        <w:tab/>
      </w:r>
      <w:r>
        <w:rPr>
          <w:rFonts w:ascii="Times New Roman"/>
          <w:b w:val="false"/>
          <w:i w:val="false"/>
          <w:color w:val="000000"/>
          <w:sz w:val="24"/>
        </w:rPr>
        <w:t>The review of a company's financial statements by a CPA firm:</w:t>
      </w:r>
      <w:r>
        <w:rPr>
          <w:rFonts w:ascii="Times New Roman"/>
          <w:sz w:val="24"/>
        </w:rPr>
        <w:br/>
      </w:r>
      <w:r>
        <w:rPr>
          <w:rFonts w:ascii="Times New Roman"/>
          <w:sz w:val="24"/>
        </w:rP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sz w:val="24"/>
        </w:rPr>
        <w:t>A)   Is substantially less in scope of procedures than an audit.</w:t>
      </w:r>
      <w:r>
        <w:rPr>
          <w:rFonts w:ascii="Times New Roman"/>
          <w:sz w:val="24"/>
        </w:rPr>
        <w:tab/>
        <w:br/>
        <w:tab/>
      </w:r>
      <w:r>
        <w:rPr>
          <w:rFonts w:ascii="Times New Roman"/>
          <w:sz w:val="24"/>
        </w:rPr>
        <w:t>B)   Requires detailed analysis of the major accounts.</w:t>
      </w:r>
      <w:r>
        <w:rPr>
          <w:rFonts w:ascii="Times New Roman"/>
          <w:sz w:val="24"/>
        </w:rPr>
        <w:br/>
        <w:tab/>
      </w:r>
      <w:r>
        <w:rPr>
          <w:rFonts w:ascii="Times New Roman"/>
          <w:sz w:val="24"/>
        </w:rPr>
        <w:t>C)   Is of similar scope as an audit and adds similar credibility to the statements.</w:t>
      </w:r>
      <w:r>
        <w:rPr>
          <w:rFonts w:ascii="Times New Roman"/>
          <w:sz w:val="24"/>
        </w:rPr>
        <w:br/>
        <w:tab/>
      </w:r>
      <w:r>
        <w:rPr>
          <w:rFonts w:ascii="Times New Roman"/>
          <w:b w:val="false"/>
          <w:i w:val="false"/>
          <w:color w:val="000000"/>
          <w:sz w:val="24"/>
        </w:rPr>
        <w:t>D)   Culminates in issuance of a report expressing the CPA's opinion as to the fairness of the statements.</w:t>
      </w:r>
      <w:r>
        <w:rPr>
          <w:rFonts w:ascii="Times New Roman"/>
          <w:sz w:val="24"/>
        </w:rPr>
      </w:r>
      <w:r>
        <w:rPr>
          <w:rFonts w:ascii="Times New Roman"/>
          <w:sz w:val="24"/>
        </w:rPr>
        <w:br/>
        <w:tab/>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29)</w:t>
        <w:tab/>
      </w:r>
      <w:r>
        <w:rPr>
          <w:rFonts w:ascii="Times New Roman"/>
          <w:b w:val="false"/>
          <w:i w:val="false"/>
          <w:color w:val="000000"/>
          <w:sz w:val="24"/>
        </w:rPr>
        <w:t>Which statement is correct with respect to continuing professional education (CPE) requirements of CPAs?</w:t>
      </w:r>
      <w:r>
        <w:rPr>
          <w:rFonts w:ascii="Times New Roman"/>
          <w:sz w:val="24"/>
        </w:rPr>
        <w:br/>
      </w:r>
      <w:r>
        <w:rPr>
          <w:rFonts w:ascii="Times New Roman"/>
          <w:sz w:val="24"/>
        </w:rP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sz w:val="24"/>
        </w:rPr>
        <w:t>A)   Only CPAs in public practice are required to meet such requirements.</w:t>
      </w:r>
      <w:r>
        <w:rPr>
          <w:rFonts w:ascii="Times New Roman"/>
          <w:sz w:val="24"/>
        </w:rPr>
        <w:tab/>
        <w:br/>
        <w:tab/>
      </w:r>
      <w:r>
        <w:rPr>
          <w:rFonts w:ascii="Times New Roman"/>
          <w:sz w:val="24"/>
        </w:rPr>
        <w:t>B)   Only CPAs in public practice or business are required to meet such requirements.</w:t>
      </w:r>
      <w:r>
        <w:rPr>
          <w:rFonts w:ascii="Times New Roman"/>
          <w:sz w:val="24"/>
        </w:rPr>
        <w:br/>
        <w:tab/>
      </w:r>
      <w:r>
        <w:rPr>
          <w:rFonts w:ascii="Times New Roman"/>
          <w:sz w:val="24"/>
        </w:rPr>
        <w:t>C)   State laws require CPAs to participate in continuing education programs as a condition for license renewal.</w:t>
      </w:r>
      <w:r>
        <w:rPr>
          <w:rFonts w:ascii="Times New Roman"/>
          <w:sz w:val="24"/>
        </w:rPr>
        <w:br/>
        <w:tab/>
      </w:r>
      <w:r>
        <w:rPr>
          <w:rFonts w:ascii="Times New Roman"/>
          <w:sz w:val="24"/>
        </w:rPr>
        <w:t>D)   Participation in continuing professional education is voluntary of all CPAs.</w:t>
      </w:r>
      <w:r>
        <w:rPr>
          <w:rFonts w:ascii="Times New Roman"/>
          <w:sz w:val="24"/>
        </w:rPr>
        <w:br/>
        <w:tab/>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30)</w:t>
        <w:tab/>
      </w:r>
      <w:r>
        <w:rPr>
          <w:rFonts w:ascii="Times New Roman"/>
          <w:b w:val="false"/>
          <w:i w:val="false"/>
          <w:color w:val="000000"/>
          <w:sz w:val="24"/>
        </w:rPr>
        <w:t>The FDIC Improvement Act requires that management of large financial institutions engage auditors to attest to assertions by management about the effectiveness of the institution's internal controls over:</w:t>
      </w:r>
      <w:r>
        <w:rPr>
          <w:rFonts w:ascii="Times New Roman"/>
          <w:sz w:val="24"/>
        </w:rPr>
        <w:br/>
      </w:r>
      <w:r>
        <w:rPr>
          <w:rFonts w:ascii="Times New Roman"/>
          <w:sz w:val="24"/>
        </w:rP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sz w:val="24"/>
        </w:rPr>
        <w:t>A)   Broker and dealer relationships.</w:t>
      </w:r>
      <w:r>
        <w:rPr>
          <w:rFonts w:ascii="Times New Roman"/>
          <w:sz w:val="24"/>
        </w:rPr>
        <w:tab/>
        <w:br/>
        <w:tab/>
      </w:r>
      <w:r>
        <w:rPr>
          <w:rFonts w:ascii="Times New Roman"/>
          <w:sz w:val="24"/>
        </w:rPr>
        <w:t>B)   Financial reporting.</w:t>
      </w:r>
      <w:r>
        <w:rPr>
          <w:rFonts w:ascii="Times New Roman"/>
          <w:sz w:val="24"/>
        </w:rPr>
        <w:br/>
        <w:tab/>
      </w:r>
      <w:r>
        <w:rPr>
          <w:rFonts w:ascii="Times New Roman"/>
          <w:sz w:val="24"/>
        </w:rPr>
        <w:t>C)   Effectiveness of operations.</w:t>
      </w:r>
      <w:r>
        <w:rPr>
          <w:rFonts w:ascii="Times New Roman"/>
          <w:sz w:val="24"/>
        </w:rPr>
        <w:br/>
        <w:tab/>
      </w:r>
      <w:r>
        <w:rPr>
          <w:rFonts w:ascii="Times New Roman"/>
          <w:sz w:val="24"/>
        </w:rPr>
        <w:t>D)   Efficiency of operations.</w:t>
      </w:r>
      <w:r>
        <w:rPr>
          <w:rFonts w:ascii="Times New Roman"/>
          <w:sz w:val="24"/>
        </w:rPr>
        <w:br/>
        <w:tab/>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31)</w:t>
        <w:tab/>
      </w:r>
      <w:r>
        <w:rPr>
          <w:rFonts w:ascii="Times New Roman"/>
          <w:b w:val="false"/>
          <w:i w:val="false"/>
          <w:color w:val="000000"/>
          <w:sz w:val="24"/>
        </w:rPr>
        <w:t>Passage of the Sarbanes-Oxley Act led to the establishment of the:</w:t>
      </w:r>
      <w:r>
        <w:rPr>
          <w:rFonts w:ascii="Times New Roman"/>
          <w:sz w:val="24"/>
        </w:rPr>
        <w:br/>
      </w:r>
      <w:r>
        <w:rPr>
          <w:rFonts w:ascii="Times New Roman"/>
          <w:sz w:val="24"/>
        </w:rP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sz w:val="24"/>
        </w:rPr>
        <w:t>A)   Auditing Standards Board.</w:t>
      </w:r>
      <w:r>
        <w:rPr>
          <w:rFonts w:ascii="Times New Roman"/>
          <w:sz w:val="24"/>
        </w:rPr>
        <w:tab/>
        <w:br/>
        <w:tab/>
      </w:r>
      <w:r>
        <w:rPr>
          <w:rFonts w:ascii="Times New Roman"/>
          <w:sz w:val="24"/>
        </w:rPr>
        <w:t>B)   Public Company Accounting Oversight Board.</w:t>
      </w:r>
      <w:r>
        <w:rPr>
          <w:rFonts w:ascii="Times New Roman"/>
          <w:sz w:val="24"/>
        </w:rPr>
        <w:br/>
        <w:tab/>
      </w:r>
      <w:r>
        <w:rPr>
          <w:rFonts w:ascii="Times New Roman"/>
          <w:sz w:val="24"/>
        </w:rPr>
        <w:t>C)   Public Accountancy Review Board.</w:t>
      </w:r>
      <w:r>
        <w:rPr>
          <w:rFonts w:ascii="Times New Roman"/>
          <w:sz w:val="24"/>
        </w:rPr>
        <w:br/>
        <w:tab/>
      </w:r>
      <w:r>
        <w:rPr>
          <w:rFonts w:ascii="Times New Roman"/>
          <w:sz w:val="24"/>
        </w:rPr>
        <w:t>D)   Securities and Exchange Commission.</w:t>
      </w:r>
      <w:r>
        <w:rPr>
          <w:rFonts w:ascii="Times New Roman"/>
          <w:sz w:val="24"/>
        </w:rPr>
        <w:br/>
        <w:tab/>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32)</w:t>
        <w:tab/>
      </w:r>
      <w:r>
        <w:rPr>
          <w:rFonts w:ascii="Times New Roman"/>
          <w:b w:val="false"/>
          <w:i w:val="false"/>
          <w:color w:val="000000"/>
          <w:sz w:val="24"/>
        </w:rPr>
        <w:t>Which of the following professionals has primary responsibility for the performance of an audit?</w:t>
      </w:r>
      <w:r>
        <w:rPr>
          <w:rFonts w:ascii="Times New Roman"/>
          <w:sz w:val="24"/>
        </w:rPr>
        <w:br/>
      </w:r>
      <w:r>
        <w:rPr>
          <w:rFonts w:ascii="Times New Roman"/>
          <w:sz w:val="24"/>
        </w:rP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sz w:val="24"/>
        </w:rPr>
        <w:t>A)   The managing partner of the firm.</w:t>
      </w:r>
      <w:r>
        <w:rPr>
          <w:rFonts w:ascii="Times New Roman"/>
          <w:sz w:val="24"/>
        </w:rPr>
        <w:tab/>
        <w:br/>
        <w:tab/>
      </w:r>
      <w:r>
        <w:rPr>
          <w:rFonts w:ascii="Times New Roman"/>
          <w:sz w:val="24"/>
        </w:rPr>
        <w:t>B)   The senior assigned to the engagement.</w:t>
      </w:r>
      <w:r>
        <w:rPr>
          <w:rFonts w:ascii="Times New Roman"/>
          <w:sz w:val="24"/>
        </w:rPr>
        <w:br/>
        <w:tab/>
      </w:r>
      <w:r>
        <w:rPr>
          <w:rFonts w:ascii="Times New Roman"/>
          <w:sz w:val="24"/>
        </w:rPr>
        <w:t>C)   The manager assigned to the engagement.</w:t>
      </w:r>
      <w:r>
        <w:rPr>
          <w:rFonts w:ascii="Times New Roman"/>
          <w:sz w:val="24"/>
        </w:rPr>
        <w:br/>
        <w:tab/>
      </w:r>
      <w:r>
        <w:rPr>
          <w:rFonts w:ascii="Times New Roman"/>
          <w:sz w:val="24"/>
        </w:rPr>
        <w:t>D)   The partner in charge of the engagement.</w:t>
      </w:r>
      <w:r>
        <w:rPr>
          <w:rFonts w:ascii="Times New Roman"/>
          <w:sz w:val="24"/>
        </w:rPr>
        <w:br/>
        <w:tab/>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33)</w:t>
        <w:tab/>
      </w:r>
      <w:r>
        <w:rPr>
          <w:rFonts w:ascii="Times New Roman"/>
          <w:b w:val="false"/>
          <w:i w:val="false"/>
          <w:color w:val="000000"/>
          <w:sz w:val="24"/>
        </w:rPr>
        <w:t>Which of the following types of services is generally provided only by CPA firms?</w:t>
      </w:r>
      <w:r>
        <w:rPr>
          <w:rFonts w:ascii="Times New Roman"/>
          <w:sz w:val="24"/>
        </w:rPr>
        <w:br/>
      </w:r>
      <w:r>
        <w:rPr>
          <w:rFonts w:ascii="Times New Roman"/>
          <w:sz w:val="24"/>
        </w:rP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sz w:val="24"/>
        </w:rPr>
        <w:t>A)   Tax audits.</w:t>
      </w:r>
      <w:r>
        <w:rPr>
          <w:rFonts w:ascii="Times New Roman"/>
          <w:sz w:val="24"/>
        </w:rPr>
        <w:tab/>
        <w:br/>
        <w:tab/>
      </w:r>
      <w:r>
        <w:rPr>
          <w:rFonts w:ascii="Times New Roman"/>
          <w:sz w:val="24"/>
        </w:rPr>
        <w:t>B)   Financial statement audits.</w:t>
      </w:r>
      <w:r>
        <w:rPr>
          <w:rFonts w:ascii="Times New Roman"/>
          <w:sz w:val="24"/>
        </w:rPr>
        <w:br/>
        <w:tab/>
      </w:r>
      <w:r>
        <w:rPr>
          <w:rFonts w:ascii="Times New Roman"/>
          <w:sz w:val="24"/>
        </w:rPr>
        <w:t>C)   Compliance audits.</w:t>
      </w:r>
      <w:r>
        <w:rPr>
          <w:rFonts w:ascii="Times New Roman"/>
          <w:sz w:val="24"/>
        </w:rPr>
        <w:br/>
        <w:tab/>
      </w:r>
      <w:r>
        <w:rPr>
          <w:rFonts w:ascii="Times New Roman"/>
          <w:sz w:val="24"/>
        </w:rPr>
        <w:t>D)   Operational audits.</w:t>
      </w:r>
      <w:r>
        <w:rPr>
          <w:rFonts w:ascii="Times New Roman"/>
          <w:sz w:val="24"/>
        </w:rPr>
        <w:br/>
        <w:tab/>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34)</w:t>
        <w:tab/>
      </w:r>
      <w:r>
        <w:rPr>
          <w:rFonts w:ascii="Times New Roman"/>
          <w:b w:val="false"/>
          <w:i w:val="false"/>
          <w:color w:val="000000"/>
          <w:sz w:val="24"/>
        </w:rPr>
        <w:t>The right to practice as a CPA is given by which of the following organizations?</w:t>
      </w:r>
      <w:r>
        <w:rPr>
          <w:rFonts w:ascii="Times New Roman"/>
          <w:sz w:val="24"/>
        </w:rPr>
        <w:br/>
      </w:r>
      <w:r>
        <w:rPr>
          <w:rFonts w:ascii="Times New Roman"/>
          <w:sz w:val="24"/>
        </w:rP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sz w:val="24"/>
        </w:rPr>
        <w:t>A)   State Boards of Accountancy.</w:t>
      </w:r>
      <w:r>
        <w:rPr>
          <w:rFonts w:ascii="Times New Roman"/>
          <w:sz w:val="24"/>
        </w:rPr>
        <w:tab/>
        <w:br/>
        <w:tab/>
      </w:r>
      <w:r>
        <w:rPr>
          <w:rFonts w:ascii="Times New Roman"/>
          <w:sz w:val="24"/>
        </w:rPr>
        <w:t>B)   The AICPA.</w:t>
      </w:r>
      <w:r>
        <w:rPr>
          <w:rFonts w:ascii="Times New Roman"/>
          <w:sz w:val="24"/>
        </w:rPr>
        <w:br/>
        <w:tab/>
      </w:r>
      <w:r>
        <w:rPr>
          <w:rFonts w:ascii="Times New Roman"/>
          <w:sz w:val="24"/>
        </w:rPr>
        <w:t>C)   The SEC.</w:t>
      </w:r>
      <w:r>
        <w:rPr>
          <w:rFonts w:ascii="Times New Roman"/>
          <w:sz w:val="24"/>
        </w:rPr>
        <w:br/>
        <w:tab/>
      </w:r>
      <w:r>
        <w:rPr>
          <w:rFonts w:ascii="Times New Roman"/>
          <w:sz w:val="24"/>
        </w:rPr>
        <w:t>D)   The General Accounting Office.</w:t>
      </w:r>
      <w:r>
        <w:rPr>
          <w:rFonts w:ascii="Times New Roman"/>
          <w:sz w:val="24"/>
        </w:rPr>
        <w:br/>
        <w:tab/>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35)</w:t>
        <w:tab/>
      </w:r>
      <w:r>
        <w:rPr>
          <w:rFonts w:ascii="Times New Roman"/>
          <w:b w:val="false"/>
          <w:i w:val="false"/>
          <w:color w:val="000000"/>
          <w:sz w:val="24"/>
        </w:rPr>
        <w:t>Which of the following terms best describes the audit of a taxpayer's tax return by an IRS auditor?</w:t>
      </w:r>
      <w:r>
        <w:rPr>
          <w:rFonts w:ascii="Times New Roman"/>
          <w:sz w:val="24"/>
        </w:rPr>
        <w:br/>
      </w:r>
      <w:r>
        <w:rPr>
          <w:rFonts w:ascii="Times New Roman"/>
          <w:sz w:val="24"/>
        </w:rP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sz w:val="24"/>
        </w:rPr>
        <w:t>A)   Operational audit.</w:t>
      </w:r>
      <w:r>
        <w:rPr>
          <w:rFonts w:ascii="Times New Roman"/>
          <w:sz w:val="24"/>
        </w:rPr>
        <w:tab/>
        <w:br/>
        <w:tab/>
      </w:r>
      <w:r>
        <w:rPr>
          <w:rFonts w:ascii="Times New Roman"/>
          <w:sz w:val="24"/>
        </w:rPr>
        <w:t>B)   Internal audit.</w:t>
      </w:r>
      <w:r>
        <w:rPr>
          <w:rFonts w:ascii="Times New Roman"/>
          <w:sz w:val="24"/>
        </w:rPr>
        <w:br/>
        <w:tab/>
      </w:r>
      <w:r>
        <w:rPr>
          <w:rFonts w:ascii="Times New Roman"/>
          <w:sz w:val="24"/>
        </w:rPr>
        <w:t>C)   Compliance audit.</w:t>
      </w:r>
      <w:r>
        <w:rPr>
          <w:rFonts w:ascii="Times New Roman"/>
          <w:sz w:val="24"/>
        </w:rPr>
        <w:br/>
        <w:tab/>
      </w:r>
      <w:r>
        <w:rPr>
          <w:rFonts w:ascii="Times New Roman"/>
          <w:sz w:val="24"/>
        </w:rPr>
        <w:t>D)   Government audit.</w:t>
      </w:r>
      <w:r>
        <w:rPr>
          <w:rFonts w:ascii="Times New Roman"/>
          <w:sz w:val="24"/>
        </w:rPr>
        <w:br/>
        <w:tab/>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36)</w:t>
        <w:tab/>
      </w:r>
      <w:r>
        <w:rPr>
          <w:rFonts w:ascii="Times New Roman"/>
          <w:b w:val="false"/>
          <w:i w:val="false"/>
          <w:color w:val="000000"/>
          <w:sz w:val="24"/>
        </w:rPr>
        <w:t>Inquiries and analytical procedures ordinarily form the basis for which type of engagement?</w:t>
      </w:r>
      <w:r>
        <w:rPr>
          <w:rFonts w:ascii="Times New Roman"/>
          <w:sz w:val="24"/>
        </w:rPr>
        <w:br/>
      </w:r>
      <w:r>
        <w:rPr>
          <w:rFonts w:ascii="Times New Roman"/>
          <w:sz w:val="24"/>
        </w:rP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sz w:val="24"/>
        </w:rPr>
        <w:t>A)   Agreed-upon procedures.</w:t>
      </w:r>
      <w:r>
        <w:rPr>
          <w:rFonts w:ascii="Times New Roman"/>
          <w:sz w:val="24"/>
        </w:rPr>
        <w:tab/>
        <w:br/>
        <w:tab/>
      </w:r>
      <w:r>
        <w:rPr>
          <w:rFonts w:ascii="Times New Roman"/>
          <w:sz w:val="24"/>
        </w:rPr>
        <w:t>B)   Audit.</w:t>
      </w:r>
      <w:r>
        <w:rPr>
          <w:rFonts w:ascii="Times New Roman"/>
          <w:sz w:val="24"/>
        </w:rPr>
        <w:br/>
        <w:tab/>
      </w:r>
      <w:r>
        <w:rPr>
          <w:rFonts w:ascii="Times New Roman"/>
          <w:sz w:val="24"/>
        </w:rPr>
        <w:t>C)   Examination.</w:t>
      </w:r>
      <w:r>
        <w:rPr>
          <w:rFonts w:ascii="Times New Roman"/>
          <w:sz w:val="24"/>
        </w:rPr>
        <w:br/>
        <w:tab/>
      </w:r>
      <w:r>
        <w:rPr>
          <w:rFonts w:ascii="Times New Roman"/>
          <w:sz w:val="24"/>
        </w:rPr>
        <w:t>D)   Review.</w:t>
      </w:r>
      <w:r>
        <w:rPr>
          <w:rFonts w:ascii="Times New Roman"/>
          <w:sz w:val="24"/>
        </w:rPr>
        <w:br/>
        <w:tab/>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37)</w:t>
        <w:tab/>
      </w:r>
      <w:r>
        <w:rPr>
          <w:rFonts w:ascii="Times New Roman"/>
          <w:b w:val="false"/>
          <w:i w:val="false"/>
          <w:color w:val="000000"/>
          <w:sz w:val="24"/>
        </w:rPr>
        <w:t>Which of the following best describes the reason why independent auditors report on financial statements?</w:t>
      </w:r>
      <w:r>
        <w:rPr>
          <w:rFonts w:ascii="Times New Roman"/>
          <w:sz w:val="24"/>
        </w:rPr>
        <w:br/>
      </w:r>
      <w:r>
        <w:rPr>
          <w:rFonts w:ascii="Times New Roman"/>
          <w:sz w:val="24"/>
        </w:rP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sz w:val="24"/>
        </w:rPr>
        <w:t>A)   A management fraud may exist and it is more likely to be detected by independent auditors.</w:t>
      </w:r>
      <w:r>
        <w:rPr>
          <w:rFonts w:ascii="Times New Roman"/>
          <w:sz w:val="24"/>
        </w:rPr>
        <w:tab/>
        <w:br/>
        <w:tab/>
      </w:r>
      <w:r>
        <w:rPr>
          <w:rFonts w:ascii="Times New Roman"/>
          <w:sz w:val="24"/>
        </w:rPr>
        <w:t>B)   An audit provides credibility to the financial statements.</w:t>
      </w:r>
      <w:r>
        <w:rPr>
          <w:rFonts w:ascii="Times New Roman"/>
          <w:sz w:val="24"/>
        </w:rPr>
        <w:br/>
        <w:tab/>
      </w:r>
      <w:r>
        <w:rPr>
          <w:rFonts w:ascii="Times New Roman"/>
          <w:b w:val="false"/>
          <w:i w:val="false"/>
          <w:color w:val="000000"/>
          <w:sz w:val="24"/>
        </w:rPr>
        <w:t>C)   A misstatement of account balances may exist and is generally corrected as the result of the independent auditors' work.</w:t>
      </w:r>
      <w:r>
        <w:rPr>
          <w:rFonts w:ascii="Times New Roman"/>
          <w:sz w:val="24"/>
        </w:rPr>
      </w:r>
      <w:r>
        <w:rPr>
          <w:rFonts w:ascii="Times New Roman"/>
          <w:sz w:val="24"/>
        </w:rPr>
        <w:br/>
        <w:tab/>
      </w:r>
      <w:r>
        <w:rPr>
          <w:rFonts w:ascii="Times New Roman"/>
          <w:sz w:val="24"/>
        </w:rPr>
        <w:t>D)   Poorly designed internal control may be in existence.</w:t>
      </w:r>
      <w:r>
        <w:rPr>
          <w:rFonts w:ascii="Times New Roman"/>
          <w:sz w:val="24"/>
        </w:rPr>
        <w:br/>
        <w:tab/>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38)</w:t>
        <w:tab/>
      </w:r>
      <w:r>
        <w:rPr>
          <w:rFonts w:ascii="Times New Roman"/>
          <w:b w:val="false"/>
          <w:i w:val="false"/>
          <w:color w:val="000000"/>
          <w:sz w:val="24"/>
        </w:rPr>
        <w:t>Financial accounting standards for cities are developed primarily by the:</w:t>
      </w:r>
      <w:r>
        <w:rPr>
          <w:rFonts w:ascii="Times New Roman"/>
          <w:sz w:val="24"/>
        </w:rPr>
        <w:br/>
      </w:r>
      <w:r>
        <w:rPr>
          <w:rFonts w:ascii="Times New Roman"/>
          <w:sz w:val="24"/>
        </w:rP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sz w:val="24"/>
        </w:rPr>
        <w:t>A)   FASB.</w:t>
      </w:r>
      <w:r>
        <w:rPr>
          <w:rFonts w:ascii="Times New Roman"/>
          <w:sz w:val="24"/>
        </w:rPr>
        <w:tab/>
        <w:br/>
        <w:tab/>
      </w:r>
      <w:r>
        <w:rPr>
          <w:rFonts w:ascii="Times New Roman"/>
          <w:sz w:val="24"/>
        </w:rPr>
        <w:t>B)   IFAC.</w:t>
      </w:r>
      <w:r>
        <w:rPr>
          <w:rFonts w:ascii="Times New Roman"/>
          <w:sz w:val="24"/>
        </w:rPr>
        <w:br/>
        <w:tab/>
      </w:r>
      <w:r>
        <w:rPr>
          <w:rFonts w:ascii="Times New Roman"/>
          <w:sz w:val="24"/>
        </w:rPr>
        <w:t>C)   GASB.</w:t>
      </w:r>
      <w:r>
        <w:rPr>
          <w:rFonts w:ascii="Times New Roman"/>
          <w:sz w:val="24"/>
        </w:rPr>
        <w:br/>
        <w:tab/>
      </w:r>
      <w:r>
        <w:rPr>
          <w:rFonts w:ascii="Times New Roman"/>
          <w:sz w:val="24"/>
        </w:rPr>
        <w:t>D)   SEC.</w:t>
      </w:r>
      <w:r>
        <w:rPr>
          <w:rFonts w:ascii="Times New Roman"/>
          <w:sz w:val="24"/>
        </w:rPr>
        <w:br/>
        <w:tab/>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39)</w:t>
        <w:tab/>
      </w:r>
      <w:r>
        <w:rPr>
          <w:rFonts w:ascii="Times New Roman"/>
          <w:b w:val="false"/>
          <w:i w:val="false"/>
          <w:color w:val="000000"/>
          <w:sz w:val="24"/>
        </w:rPr>
        <w:t>Operational auditing is primarily oriented toward:</w:t>
      </w:r>
      <w:r>
        <w:rPr>
          <w:rFonts w:ascii="Times New Roman"/>
          <w:sz w:val="24"/>
        </w:rPr>
        <w:br/>
      </w:r>
      <w:r>
        <w:rPr>
          <w:rFonts w:ascii="Times New Roman"/>
          <w:sz w:val="24"/>
        </w:rP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sz w:val="24"/>
        </w:rPr>
        <w:t>A)   Future improvements to accomplish the goals of management.</w:t>
      </w:r>
      <w:r>
        <w:rPr>
          <w:rFonts w:ascii="Times New Roman"/>
          <w:sz w:val="24"/>
        </w:rPr>
        <w:tab/>
        <w:br/>
        <w:tab/>
      </w:r>
      <w:r>
        <w:rPr>
          <w:rFonts w:ascii="Times New Roman"/>
          <w:b w:val="false"/>
          <w:i w:val="false"/>
          <w:color w:val="000000"/>
          <w:sz w:val="24"/>
        </w:rPr>
        <w:t>B)   The accuracy of data reflected in management's financial records.</w:t>
      </w:r>
      <w:r>
        <w:rPr>
          <w:rFonts w:ascii="Times New Roman"/>
          <w:sz w:val="24"/>
        </w:rPr>
      </w:r>
      <w:r>
        <w:rPr>
          <w:rFonts w:ascii="Times New Roman"/>
          <w:sz w:val="24"/>
        </w:rPr>
        <w:br/>
        <w:tab/>
      </w:r>
      <w:r>
        <w:rPr>
          <w:rFonts w:ascii="Times New Roman"/>
          <w:b w:val="false"/>
          <w:i w:val="false"/>
          <w:color w:val="000000"/>
          <w:sz w:val="24"/>
        </w:rPr>
        <w:t>C)   The verification that a company's financial statements are fairly presented.</w:t>
      </w:r>
      <w:r>
        <w:rPr>
          <w:rFonts w:ascii="Times New Roman"/>
          <w:sz w:val="24"/>
        </w:rPr>
      </w:r>
      <w:r>
        <w:rPr>
          <w:rFonts w:ascii="Times New Roman"/>
          <w:sz w:val="24"/>
        </w:rPr>
        <w:br/>
        <w:tab/>
      </w:r>
      <w:r>
        <w:rPr>
          <w:rFonts w:ascii="Times New Roman"/>
          <w:sz w:val="24"/>
        </w:rPr>
        <w:t>D)   Past protection provided by existing internal control.</w:t>
      </w:r>
      <w:r>
        <w:rPr>
          <w:rFonts w:ascii="Times New Roman"/>
          <w:sz w:val="24"/>
        </w:rPr>
        <w:br/>
        <w:tab/>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40)</w:t>
        <w:tab/>
      </w:r>
      <w:r>
        <w:rPr>
          <w:rFonts w:ascii="Times New Roman"/>
          <w:b w:val="false"/>
          <w:i w:val="false"/>
          <w:color w:val="000000"/>
          <w:sz w:val="24"/>
        </w:rPr>
        <w:t>A typical objective of an operational audit is for the auditor to:</w:t>
      </w:r>
      <w:r>
        <w:rPr>
          <w:rFonts w:ascii="Times New Roman"/>
          <w:sz w:val="24"/>
        </w:rPr>
        <w:br/>
      </w:r>
      <w:r>
        <w:rPr>
          <w:rFonts w:ascii="Times New Roman"/>
          <w:sz w:val="24"/>
        </w:rP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b w:val="false"/>
          <w:i w:val="false"/>
          <w:color w:val="000000"/>
          <w:sz w:val="24"/>
        </w:rPr>
        <w:t>A)   Determine whether the financial statements fairly present the entity's operations.</w:t>
      </w:r>
      <w:r>
        <w:rPr>
          <w:rFonts w:ascii="Times New Roman"/>
          <w:sz w:val="24"/>
        </w:rPr>
      </w:r>
      <w:r>
        <w:rPr>
          <w:rFonts w:ascii="Times New Roman"/>
          <w:sz w:val="24"/>
        </w:rPr>
        <w:tab/>
        <w:br/>
        <w:tab/>
      </w:r>
      <w:r>
        <w:rPr>
          <w:rFonts w:ascii="Times New Roman"/>
          <w:b w:val="false"/>
          <w:i w:val="false"/>
          <w:color w:val="000000"/>
          <w:sz w:val="24"/>
        </w:rPr>
        <w:t>B)   Evaluate the feasibility of attaining the entity's operational objectives.</w:t>
      </w:r>
      <w:r>
        <w:rPr>
          <w:rFonts w:ascii="Times New Roman"/>
          <w:sz w:val="24"/>
        </w:rPr>
      </w:r>
      <w:r>
        <w:rPr>
          <w:rFonts w:ascii="Times New Roman"/>
          <w:sz w:val="24"/>
        </w:rPr>
        <w:br/>
        <w:tab/>
      </w:r>
      <w:r>
        <w:rPr>
          <w:rFonts w:ascii="Times New Roman"/>
          <w:sz w:val="24"/>
        </w:rPr>
        <w:t>C)   Make recommendations for improving performance.</w:t>
      </w:r>
      <w:r>
        <w:rPr>
          <w:rFonts w:ascii="Times New Roman"/>
          <w:sz w:val="24"/>
        </w:rPr>
        <w:br/>
        <w:tab/>
      </w:r>
      <w:r>
        <w:rPr>
          <w:rFonts w:ascii="Times New Roman"/>
          <w:b w:val="false"/>
          <w:i w:val="false"/>
          <w:color w:val="000000"/>
          <w:sz w:val="24"/>
        </w:rPr>
        <w:t>D)   Report on the entity's relative success in attaining profit maximization.</w:t>
      </w:r>
      <w:r>
        <w:rPr>
          <w:rFonts w:ascii="Times New Roman"/>
          <w:sz w:val="24"/>
        </w:rPr>
      </w:r>
      <w:r>
        <w:rPr>
          <w:rFonts w:ascii="Times New Roman"/>
          <w:sz w:val="24"/>
        </w:rPr>
        <w:br/>
        <w:tab/>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41)</w:t>
        <w:tab/>
      </w:r>
      <w:r>
        <w:rPr>
          <w:rFonts w:ascii="Times New Roman"/>
          <w:b w:val="false"/>
          <w:i w:val="false"/>
          <w:color w:val="000000"/>
          <w:sz w:val="24"/>
        </w:rPr>
        <w:t>An integrated audit performed under the Sarbanes-Oxley Act requires that auditors provide opinions on:</w:t>
      </w:r>
      <w:r>
        <w:rPr>
          <w:rFonts w:ascii="Times New Roman"/>
          <w:sz w:val="24"/>
        </w:rPr>
        <w:br/>
      </w:r>
      <w:r>
        <w:rPr>
          <w:rFonts w:ascii="Times New Roman"/>
          <w:sz w:val="24"/>
        </w:rPr>
      </w:r>
    </w:p>
    <w:tbl>
      <w:tblPr>
        <w:tblLayout w:type="autofit"/>
      </w:tblPr>
      <w:tr>
        <w:trPr/>
        <w:tc>
          <w:tcPr>
            <w:tcW w:w="800" w:type="dxa"/>
            <w:tcBorders/>
            <w:tcMar>
              <w:top w:w="15" w:type="dxa"/>
              <w:left w:w="15" w:type="dxa"/>
              <w:bottom w:w="15" w:type="dxa"/>
              <w:right w:w="15" w:type="dxa"/>
            </w:tcMar>
            <w:vAlign w:val="top"/>
          </w:tcPr>
          <w:p/>
        </w:tc>
        <w:tc>
          <w:tcPr>
            <w:tcW w:w="2180" w:type="dxa"/>
            <w:tcBorders/>
            <w:tcMar>
              <w:top w:w="15" w:type="dxa"/>
              <w:left w:w="15" w:type="dxa"/>
              <w:bottom w:w="15" w:type="dxa"/>
              <w:right w:w="15" w:type="dxa"/>
            </w:tcMar>
            <w:vAlign w:val="top"/>
          </w:tcPr>
          <w:p>
            <w:pPr>
              <w:spacing w:after="0"/>
              <w:ind w:left="0"/>
              <w:jc w:val="center"/>
            </w:pPr>
            <w:r>
              <w:rPr>
                <w:rFonts w:ascii="Courier New" w:hAnsi="Courier New"/>
                <w:b/>
                <w:i w:val="false"/>
                <w:color w:val="000000"/>
                <w:sz w:val="22"/>
              </w:rPr>
              <w:t>Financial Statements</w:t>
            </w:r>
          </w:p>
        </w:tc>
        <w:tc>
          <w:tcPr>
            <w:tcW w:w="2180" w:type="dxa"/>
            <w:tcBorders/>
            <w:tcMar>
              <w:top w:w="15" w:type="dxa"/>
              <w:left w:w="15" w:type="dxa"/>
              <w:bottom w:w="15" w:type="dxa"/>
              <w:right w:w="15" w:type="dxa"/>
            </w:tcMar>
            <w:vAlign w:val="top"/>
          </w:tcPr>
          <w:p>
            <w:pPr>
              <w:spacing w:after="0"/>
              <w:ind w:left="0"/>
              <w:jc w:val="center"/>
            </w:pPr>
            <w:r>
              <w:rPr>
                <w:rFonts w:ascii="Courier New" w:hAnsi="Courier New"/>
                <w:b/>
                <w:i w:val="false"/>
                <w:color w:val="000000"/>
                <w:sz w:val="22"/>
              </w:rPr>
              <w:t>Law Compliance</w:t>
            </w:r>
          </w:p>
        </w:tc>
      </w:tr>
      <w:tr>
        <w:trPr/>
        <w:tc>
          <w:tcPr>
            <w:tcW w:w="800" w:type="dxa"/>
            <w:tcBorders/>
            <w:tcMar>
              <w:top w:w="15" w:type="dxa"/>
              <w:left w:w="150" w:type="dxa"/>
              <w:bottom w:w="15" w:type="dxa"/>
              <w:right w:w="15" w:type="dxa"/>
            </w:tcMar>
            <w:vAlign w:val="top"/>
          </w:tcPr>
          <w:p>
            <w:pPr>
              <w:spacing w:after="0"/>
              <w:ind w:left="0"/>
              <w:jc w:val="left"/>
            </w:pPr>
            <w:r>
              <w:rPr>
                <w:rFonts w:ascii="Courier New" w:hAnsi="Courier New"/>
                <w:b/>
                <w:i w:val="false"/>
                <w:color w:val="000000"/>
                <w:sz w:val="22"/>
              </w:rPr>
              <w:t>A.</w:t>
            </w:r>
          </w:p>
        </w:tc>
        <w:tc>
          <w:tcPr>
            <w:tcW w:w="2180" w:type="dxa"/>
            <w:tcBorders/>
            <w:tcMar>
              <w:top w:w="15" w:type="dxa"/>
              <w:left w:w="15" w:type="dxa"/>
              <w:bottom w:w="15" w:type="dxa"/>
              <w:right w:w="15" w:type="dxa"/>
            </w:tcMar>
            <w:vAlign w:val="top"/>
          </w:tcPr>
          <w:p>
            <w:pPr>
              <w:spacing w:after="0"/>
              <w:ind w:left="0"/>
              <w:jc w:val="center"/>
            </w:pPr>
            <w:r>
              <w:rPr>
                <w:rFonts w:ascii="Courier New" w:hAnsi="Courier New"/>
                <w:b w:val="false"/>
                <w:i w:val="false"/>
                <w:color w:val="000000"/>
                <w:sz w:val="22"/>
              </w:rPr>
              <w:t>Yes</w:t>
            </w:r>
          </w:p>
        </w:tc>
        <w:tc>
          <w:tcPr>
            <w:tcW w:w="2180" w:type="dxa"/>
            <w:tcBorders/>
            <w:tcMar>
              <w:top w:w="15" w:type="dxa"/>
              <w:left w:w="15" w:type="dxa"/>
              <w:bottom w:w="15" w:type="dxa"/>
              <w:right w:w="15" w:type="dxa"/>
            </w:tcMar>
            <w:vAlign w:val="top"/>
          </w:tcPr>
          <w:p>
            <w:pPr>
              <w:spacing w:after="0"/>
              <w:ind w:left="0"/>
              <w:jc w:val="center"/>
            </w:pPr>
            <w:r>
              <w:rPr>
                <w:rFonts w:ascii="Courier New" w:hAnsi="Courier New"/>
                <w:b w:val="false"/>
                <w:i w:val="false"/>
                <w:color w:val="000000"/>
                <w:sz w:val="22"/>
              </w:rPr>
              <w:t>Yes</w:t>
            </w:r>
          </w:p>
        </w:tc>
      </w:tr>
      <w:tr>
        <w:trPr/>
        <w:tc>
          <w:tcPr>
            <w:tcW w:w="800" w:type="dxa"/>
            <w:tcBorders/>
            <w:tcMar>
              <w:top w:w="15" w:type="dxa"/>
              <w:left w:w="150" w:type="dxa"/>
              <w:bottom w:w="15" w:type="dxa"/>
              <w:right w:w="15" w:type="dxa"/>
            </w:tcMar>
            <w:vAlign w:val="top"/>
          </w:tcPr>
          <w:p>
            <w:pPr>
              <w:spacing w:after="0"/>
              <w:ind w:left="0"/>
              <w:jc w:val="left"/>
            </w:pPr>
            <w:r>
              <w:rPr>
                <w:rFonts w:ascii="Courier New" w:hAnsi="Courier New"/>
                <w:b/>
                <w:i w:val="false"/>
                <w:color w:val="000000"/>
                <w:sz w:val="22"/>
              </w:rPr>
              <w:t>B.</w:t>
            </w:r>
          </w:p>
        </w:tc>
        <w:tc>
          <w:tcPr>
            <w:tcW w:w="2180" w:type="dxa"/>
            <w:tcBorders/>
            <w:tcMar>
              <w:top w:w="15" w:type="dxa"/>
              <w:left w:w="15" w:type="dxa"/>
              <w:bottom w:w="15" w:type="dxa"/>
              <w:right w:w="15" w:type="dxa"/>
            </w:tcMar>
            <w:vAlign w:val="top"/>
          </w:tcPr>
          <w:p>
            <w:pPr>
              <w:spacing w:after="0"/>
              <w:ind w:left="0"/>
              <w:jc w:val="center"/>
            </w:pPr>
            <w:r>
              <w:rPr>
                <w:rFonts w:ascii="Courier New" w:hAnsi="Courier New"/>
                <w:b w:val="false"/>
                <w:i w:val="false"/>
                <w:color w:val="000000"/>
                <w:sz w:val="22"/>
              </w:rPr>
              <w:t>Yes</w:t>
            </w:r>
          </w:p>
        </w:tc>
        <w:tc>
          <w:tcPr>
            <w:tcW w:w="2180" w:type="dxa"/>
            <w:tcBorders/>
            <w:tcMar>
              <w:top w:w="15" w:type="dxa"/>
              <w:left w:w="15" w:type="dxa"/>
              <w:bottom w:w="15" w:type="dxa"/>
              <w:right w:w="15" w:type="dxa"/>
            </w:tcMar>
            <w:vAlign w:val="top"/>
          </w:tcPr>
          <w:p>
            <w:pPr>
              <w:spacing w:after="0"/>
              <w:ind w:left="0"/>
              <w:jc w:val="center"/>
            </w:pPr>
            <w:r>
              <w:rPr>
                <w:rFonts w:ascii="Courier New" w:hAnsi="Courier New"/>
                <w:b w:val="false"/>
                <w:i w:val="false"/>
                <w:color w:val="000000"/>
                <w:sz w:val="22"/>
              </w:rPr>
              <w:t>No</w:t>
            </w:r>
          </w:p>
        </w:tc>
      </w:tr>
      <w:tr>
        <w:trPr/>
        <w:tc>
          <w:tcPr>
            <w:tcW w:w="800" w:type="dxa"/>
            <w:tcBorders/>
            <w:tcMar>
              <w:top w:w="15" w:type="dxa"/>
              <w:left w:w="150" w:type="dxa"/>
              <w:bottom w:w="15" w:type="dxa"/>
              <w:right w:w="15" w:type="dxa"/>
            </w:tcMar>
            <w:vAlign w:val="top"/>
          </w:tcPr>
          <w:p>
            <w:pPr>
              <w:spacing w:after="0"/>
              <w:ind w:left="0"/>
              <w:jc w:val="left"/>
            </w:pPr>
            <w:r>
              <w:rPr>
                <w:rFonts w:ascii="Courier New" w:hAnsi="Courier New"/>
                <w:b/>
                <w:i w:val="false"/>
                <w:color w:val="000000"/>
                <w:sz w:val="22"/>
              </w:rPr>
              <w:t>C.</w:t>
            </w:r>
          </w:p>
        </w:tc>
        <w:tc>
          <w:tcPr>
            <w:tcW w:w="2180" w:type="dxa"/>
            <w:tcBorders/>
            <w:tcMar>
              <w:top w:w="15" w:type="dxa"/>
              <w:left w:w="15" w:type="dxa"/>
              <w:bottom w:w="15" w:type="dxa"/>
              <w:right w:w="15" w:type="dxa"/>
            </w:tcMar>
            <w:vAlign w:val="top"/>
          </w:tcPr>
          <w:p>
            <w:pPr>
              <w:spacing w:after="0"/>
              <w:ind w:left="0"/>
              <w:jc w:val="center"/>
            </w:pPr>
            <w:r>
              <w:rPr>
                <w:rFonts w:ascii="Courier New" w:hAnsi="Courier New"/>
                <w:b w:val="false"/>
                <w:i w:val="false"/>
                <w:color w:val="000000"/>
                <w:sz w:val="22"/>
              </w:rPr>
              <w:t>No</w:t>
            </w:r>
          </w:p>
        </w:tc>
        <w:tc>
          <w:tcPr>
            <w:tcW w:w="2180" w:type="dxa"/>
            <w:tcBorders/>
            <w:tcMar>
              <w:top w:w="15" w:type="dxa"/>
              <w:left w:w="15" w:type="dxa"/>
              <w:bottom w:w="15" w:type="dxa"/>
              <w:right w:w="15" w:type="dxa"/>
            </w:tcMar>
            <w:vAlign w:val="top"/>
          </w:tcPr>
          <w:p>
            <w:pPr>
              <w:spacing w:after="0"/>
              <w:ind w:left="0"/>
              <w:jc w:val="center"/>
            </w:pPr>
            <w:r>
              <w:rPr>
                <w:rFonts w:ascii="Courier New" w:hAnsi="Courier New"/>
                <w:b w:val="false"/>
                <w:i w:val="false"/>
                <w:color w:val="000000"/>
                <w:sz w:val="22"/>
              </w:rPr>
              <w:t>Yes</w:t>
            </w:r>
          </w:p>
        </w:tc>
      </w:tr>
      <w:tr>
        <w:trPr/>
        <w:tc>
          <w:tcPr>
            <w:tcW w:w="800" w:type="dxa"/>
            <w:tcBorders/>
            <w:tcMar>
              <w:top w:w="15" w:type="dxa"/>
              <w:left w:w="150" w:type="dxa"/>
              <w:bottom w:w="15" w:type="dxa"/>
              <w:right w:w="15" w:type="dxa"/>
            </w:tcMar>
            <w:vAlign w:val="top"/>
          </w:tcPr>
          <w:p>
            <w:pPr>
              <w:spacing w:after="0"/>
              <w:ind w:left="0"/>
              <w:jc w:val="left"/>
            </w:pPr>
            <w:r>
              <w:rPr>
                <w:rFonts w:ascii="Courier New" w:hAnsi="Courier New"/>
                <w:b/>
                <w:i w:val="false"/>
                <w:color w:val="000000"/>
                <w:sz w:val="22"/>
              </w:rPr>
              <w:t>D.</w:t>
            </w:r>
          </w:p>
        </w:tc>
        <w:tc>
          <w:tcPr>
            <w:tcW w:w="2180" w:type="dxa"/>
            <w:tcBorders/>
            <w:tcMar>
              <w:top w:w="15" w:type="dxa"/>
              <w:left w:w="15" w:type="dxa"/>
              <w:bottom w:w="15" w:type="dxa"/>
              <w:right w:w="15" w:type="dxa"/>
            </w:tcMar>
            <w:vAlign w:val="top"/>
          </w:tcPr>
          <w:p>
            <w:pPr>
              <w:spacing w:after="0"/>
              <w:ind w:left="0"/>
              <w:jc w:val="center"/>
            </w:pPr>
            <w:r>
              <w:rPr>
                <w:rFonts w:ascii="Courier New" w:hAnsi="Courier New"/>
                <w:b w:val="false"/>
                <w:i w:val="false"/>
                <w:color w:val="000000"/>
                <w:sz w:val="22"/>
              </w:rPr>
              <w:t>No</w:t>
            </w:r>
          </w:p>
        </w:tc>
        <w:tc>
          <w:tcPr>
            <w:tcW w:w="2180" w:type="dxa"/>
            <w:tcBorders/>
            <w:tcMar>
              <w:top w:w="15" w:type="dxa"/>
              <w:left w:w="15" w:type="dxa"/>
              <w:bottom w:w="15" w:type="dxa"/>
              <w:right w:w="15" w:type="dxa"/>
            </w:tcMar>
            <w:vAlign w:val="top"/>
          </w:tcPr>
          <w:p>
            <w:pPr>
              <w:spacing w:after="0"/>
              <w:ind w:left="0"/>
              <w:jc w:val="center"/>
            </w:pPr>
            <w:r>
              <w:rPr>
                <w:rFonts w:ascii="Courier New" w:hAnsi="Courier New"/>
                <w:b w:val="false"/>
                <w:i w:val="false"/>
                <w:color w:val="000000"/>
                <w:sz w:val="22"/>
              </w:rPr>
              <w:t>No</w:t>
            </w:r>
          </w:p>
        </w:tc>
      </w:tr>
    </w:tbl>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sz w:val="24"/>
        </w:rPr>
        <w:t>A)   Option A</w:t>
      </w:r>
      <w:r>
        <w:rPr>
          <w:rFonts w:ascii="Times New Roman"/>
          <w:sz w:val="24"/>
        </w:rPr>
        <w:tab/>
        <w:br/>
        <w:tab/>
      </w:r>
      <w:r>
        <w:rPr>
          <w:rFonts w:ascii="Times New Roman"/>
          <w:sz w:val="24"/>
        </w:rPr>
        <w:t>B)   Option B</w:t>
      </w:r>
      <w:r>
        <w:rPr>
          <w:rFonts w:ascii="Times New Roman"/>
          <w:sz w:val="24"/>
        </w:rPr>
        <w:br/>
        <w:tab/>
      </w:r>
      <w:r>
        <w:rPr>
          <w:rFonts w:ascii="Times New Roman"/>
          <w:sz w:val="24"/>
        </w:rPr>
        <w:t>C)   Option C</w:t>
      </w:r>
      <w:r>
        <w:rPr>
          <w:rFonts w:ascii="Times New Roman"/>
          <w:sz w:val="24"/>
        </w:rPr>
        <w:br/>
        <w:tab/>
      </w:r>
      <w:r>
        <w:rPr>
          <w:rFonts w:ascii="Times New Roman"/>
          <w:sz w:val="24"/>
        </w:rPr>
        <w:t>D)   Option D</w:t>
      </w:r>
      <w:r>
        <w:rPr>
          <w:rFonts w:ascii="Times New Roman"/>
          <w:sz w:val="24"/>
        </w:rPr>
        <w:br/>
        <w:tab/>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42)</w:t>
        <w:tab/>
      </w:r>
      <w:r>
        <w:rPr>
          <w:rFonts w:ascii="Times New Roman"/>
          <w:b w:val="false"/>
          <w:i w:val="false"/>
          <w:color w:val="000000"/>
          <w:sz w:val="24"/>
        </w:rPr>
        <w:t>In United States v. Arthur Young, the Supreme Court of the United States described the auditor’s role as requiring independence, complete fidelity to the public trust and to serve as a(n):</w:t>
      </w:r>
      <w:r>
        <w:rPr>
          <w:rFonts w:ascii="Times New Roman"/>
          <w:sz w:val="24"/>
        </w:rPr>
        <w:br/>
      </w:r>
      <w:r>
        <w:rPr>
          <w:rFonts w:ascii="Times New Roman"/>
          <w:sz w:val="24"/>
        </w:rP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b w:val="false"/>
          <w:i w:val="false"/>
          <w:color w:val="000000"/>
          <w:sz w:val="24"/>
        </w:rPr>
        <w:t xml:space="preserve">A)   </w:t>
      </w:r>
      <w:r>
        <w:rPr>
          <w:rFonts w:ascii="Times New Roman"/>
          <w:b w:val="false"/>
          <w:i w:val="false"/>
          <w:color w:val="000000"/>
          <w:sz w:val="24"/>
        </w:rPr>
        <w:t>Objective observer.</w:t>
      </w:r>
      <w:r>
        <w:rPr>
          <w:rFonts w:ascii="Times New Roman"/>
          <w:sz w:val="24"/>
        </w:rPr>
      </w:r>
      <w:r>
        <w:rPr>
          <w:rFonts w:ascii="Times New Roman"/>
          <w:sz w:val="24"/>
        </w:rPr>
        <w:tab/>
        <w:br/>
        <w:tab/>
      </w:r>
      <w:r>
        <w:rPr>
          <w:rFonts w:ascii="Times New Roman"/>
          <w:b w:val="false"/>
          <w:i w:val="false"/>
          <w:color w:val="000000"/>
          <w:sz w:val="24"/>
        </w:rPr>
        <w:t xml:space="preserve">B)   </w:t>
      </w:r>
      <w:r>
        <w:rPr>
          <w:rFonts w:ascii="Times New Roman"/>
          <w:b w:val="false"/>
          <w:i w:val="false"/>
          <w:color w:val="000000"/>
          <w:sz w:val="24"/>
        </w:rPr>
        <w:t>Public watchdog.</w:t>
      </w:r>
      <w:r>
        <w:rPr>
          <w:rFonts w:ascii="Times New Roman"/>
          <w:sz w:val="24"/>
        </w:rPr>
      </w:r>
      <w:r>
        <w:rPr>
          <w:rFonts w:ascii="Times New Roman"/>
          <w:sz w:val="24"/>
        </w:rPr>
        <w:br/>
        <w:tab/>
      </w:r>
      <w:r>
        <w:rPr>
          <w:rFonts w:ascii="Times New Roman"/>
          <w:b w:val="false"/>
          <w:i w:val="false"/>
          <w:color w:val="000000"/>
          <w:sz w:val="24"/>
        </w:rPr>
        <w:t xml:space="preserve">C)   </w:t>
      </w:r>
      <w:r>
        <w:rPr>
          <w:rFonts w:ascii="Times New Roman"/>
          <w:b w:val="false"/>
          <w:i w:val="false"/>
          <w:color w:val="000000"/>
          <w:sz w:val="24"/>
        </w:rPr>
        <w:t>Independent detective.</w:t>
      </w:r>
      <w:r>
        <w:rPr>
          <w:rFonts w:ascii="Times New Roman"/>
          <w:sz w:val="24"/>
        </w:rPr>
      </w:r>
      <w:r>
        <w:rPr>
          <w:rFonts w:ascii="Times New Roman"/>
          <w:sz w:val="24"/>
        </w:rPr>
        <w:br/>
        <w:tab/>
      </w:r>
      <w:r>
        <w:rPr>
          <w:rFonts w:ascii="Times New Roman"/>
          <w:b w:val="false"/>
          <w:i w:val="false"/>
          <w:color w:val="000000"/>
          <w:sz w:val="24"/>
        </w:rPr>
        <w:t xml:space="preserve">D)   </w:t>
      </w:r>
      <w:r>
        <w:rPr>
          <w:rFonts w:ascii="Times New Roman"/>
          <w:b w:val="false"/>
          <w:i w:val="false"/>
          <w:color w:val="000000"/>
          <w:sz w:val="24"/>
        </w:rPr>
        <w:t>Inspector with high morals.</w:t>
      </w:r>
      <w:r>
        <w:rPr>
          <w:rFonts w:ascii="Times New Roman"/>
          <w:sz w:val="24"/>
        </w:rPr>
      </w:r>
      <w:r>
        <w:rPr>
          <w:rFonts w:ascii="Times New Roman"/>
          <w:sz w:val="24"/>
        </w:rPr>
        <w:br/>
        <w:tab/>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43)</w:t>
        <w:tab/>
      </w:r>
      <w:r>
        <w:rPr>
          <w:rFonts w:ascii="Times New Roman"/>
          <w:b w:val="false"/>
          <w:i w:val="false"/>
          <w:color w:val="000000"/>
          <w:sz w:val="24"/>
        </w:rPr>
        <w:t>International Standards on Auditing are issued by:</w:t>
      </w:r>
      <w:r>
        <w:rPr>
          <w:rFonts w:ascii="Times New Roman"/>
          <w:sz w:val="24"/>
        </w:rPr>
        <w:br/>
      </w:r>
      <w:r>
        <w:rPr>
          <w:rFonts w:ascii="Times New Roman"/>
          <w:sz w:val="24"/>
        </w:rP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b w:val="false"/>
          <w:i w:val="false"/>
          <w:color w:val="000000"/>
          <w:sz w:val="24"/>
        </w:rPr>
        <w:t xml:space="preserve">A)   </w:t>
      </w:r>
      <w:r>
        <w:rPr>
          <w:rFonts w:ascii="Times New Roman"/>
          <w:b w:val="false"/>
          <w:i w:val="false"/>
          <w:color w:val="000000"/>
          <w:sz w:val="24"/>
        </w:rPr>
        <w:t>International Standards Board.</w:t>
      </w:r>
      <w:r>
        <w:rPr>
          <w:rFonts w:ascii="Times New Roman"/>
          <w:sz w:val="24"/>
        </w:rPr>
      </w:r>
      <w:r>
        <w:rPr>
          <w:rFonts w:ascii="Times New Roman"/>
          <w:sz w:val="24"/>
        </w:rPr>
        <w:tab/>
        <w:br/>
        <w:tab/>
      </w:r>
      <w:r>
        <w:rPr>
          <w:rFonts w:ascii="Times New Roman"/>
          <w:b w:val="false"/>
          <w:i w:val="false"/>
          <w:color w:val="000000"/>
          <w:sz w:val="24"/>
        </w:rPr>
        <w:t xml:space="preserve">B)   </w:t>
      </w:r>
      <w:r>
        <w:rPr>
          <w:rFonts w:ascii="Times New Roman"/>
          <w:b w:val="false"/>
          <w:i w:val="false"/>
          <w:color w:val="000000"/>
          <w:sz w:val="24"/>
        </w:rPr>
        <w:t>International Auditing and Assurance Standards Board.</w:t>
      </w:r>
      <w:r>
        <w:rPr>
          <w:rFonts w:ascii="Times New Roman"/>
          <w:sz w:val="24"/>
        </w:rPr>
      </w:r>
      <w:r>
        <w:rPr>
          <w:rFonts w:ascii="Times New Roman"/>
          <w:sz w:val="24"/>
        </w:rPr>
        <w:br/>
        <w:tab/>
      </w:r>
      <w:r>
        <w:rPr>
          <w:rFonts w:ascii="Times New Roman"/>
          <w:b w:val="false"/>
          <w:i w:val="false"/>
          <w:color w:val="000000"/>
          <w:sz w:val="24"/>
        </w:rPr>
        <w:t xml:space="preserve">C)   </w:t>
      </w:r>
      <w:r>
        <w:rPr>
          <w:rFonts w:ascii="Times New Roman"/>
          <w:b w:val="false"/>
          <w:i w:val="false"/>
          <w:color w:val="000000"/>
          <w:sz w:val="24"/>
        </w:rPr>
        <w:t>Public Company Accounting Oversight Board.</w:t>
      </w:r>
      <w:r>
        <w:rPr>
          <w:rFonts w:ascii="Times New Roman"/>
          <w:sz w:val="24"/>
        </w:rPr>
      </w:r>
      <w:r>
        <w:rPr>
          <w:rFonts w:ascii="Times New Roman"/>
          <w:sz w:val="24"/>
        </w:rPr>
        <w:br/>
        <w:tab/>
      </w:r>
      <w:r>
        <w:rPr>
          <w:rFonts w:ascii="Times New Roman"/>
          <w:b w:val="false"/>
          <w:i w:val="false"/>
          <w:color w:val="000000"/>
          <w:sz w:val="24"/>
        </w:rPr>
        <w:t xml:space="preserve">D)   </w:t>
      </w:r>
      <w:r>
        <w:rPr>
          <w:rFonts w:ascii="Times New Roman"/>
          <w:b w:val="false"/>
          <w:i w:val="false"/>
          <w:color w:val="000000"/>
          <w:sz w:val="24"/>
        </w:rPr>
        <w:t>International Auditing Education Standards Board.</w:t>
      </w:r>
      <w:r>
        <w:rPr>
          <w:rFonts w:ascii="Times New Roman"/>
          <w:sz w:val="24"/>
        </w:rPr>
      </w:r>
      <w:r>
        <w:rPr>
          <w:rFonts w:ascii="Times New Roman"/>
          <w:sz w:val="24"/>
        </w:rPr>
        <w:br/>
        <w:tab/>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44)</w:t>
        <w:tab/>
      </w:r>
      <w:r>
        <w:rPr>
          <w:rFonts w:ascii="Times New Roman"/>
          <w:b w:val="false"/>
          <w:i w:val="false"/>
          <w:color w:val="000000"/>
          <w:sz w:val="24"/>
        </w:rPr>
        <w:t>In cases of a publicly traded company audit in the United States, when International Standards on Auditing (ISAs) conflict with the PCAOB, standards, which of the following is correct?</w:t>
      </w:r>
      <w:r>
        <w:rPr>
          <w:rFonts w:ascii="Times New Roman"/>
          <w:sz w:val="24"/>
        </w:rPr>
        <w:br/>
      </w:r>
      <w:r>
        <w:rPr>
          <w:rFonts w:ascii="Times New Roman"/>
          <w:sz w:val="24"/>
        </w:rP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b w:val="false"/>
          <w:i w:val="false"/>
          <w:color w:val="000000"/>
          <w:sz w:val="24"/>
        </w:rPr>
        <w:t xml:space="preserve">A)   </w:t>
      </w:r>
      <w:r>
        <w:rPr>
          <w:rFonts w:ascii="Times New Roman"/>
          <w:b w:val="false"/>
          <w:i w:val="false"/>
          <w:color w:val="000000"/>
          <w:sz w:val="24"/>
        </w:rPr>
        <w:t>The ISA is applicable.</w:t>
      </w:r>
      <w:r>
        <w:rPr>
          <w:rFonts w:ascii="Times New Roman"/>
          <w:sz w:val="24"/>
        </w:rPr>
      </w:r>
      <w:r>
        <w:rPr>
          <w:rFonts w:ascii="Times New Roman"/>
          <w:sz w:val="24"/>
        </w:rPr>
        <w:tab/>
        <w:br/>
        <w:tab/>
      </w:r>
      <w:r>
        <w:rPr>
          <w:rFonts w:ascii="Times New Roman"/>
          <w:b w:val="false"/>
          <w:i w:val="false"/>
          <w:color w:val="000000"/>
          <w:sz w:val="24"/>
        </w:rPr>
        <w:t xml:space="preserve">B)   </w:t>
      </w:r>
      <w:r>
        <w:rPr>
          <w:rFonts w:ascii="Times New Roman"/>
          <w:b w:val="false"/>
          <w:i w:val="false"/>
          <w:color w:val="000000"/>
          <w:sz w:val="24"/>
        </w:rPr>
        <w:t>The PCAOB standard is applicable.</w:t>
      </w:r>
      <w:r>
        <w:rPr>
          <w:rFonts w:ascii="Times New Roman"/>
          <w:sz w:val="24"/>
        </w:rPr>
      </w:r>
      <w:r>
        <w:rPr>
          <w:rFonts w:ascii="Times New Roman"/>
          <w:sz w:val="24"/>
        </w:rPr>
        <w:br/>
        <w:tab/>
      </w:r>
      <w:r>
        <w:rPr>
          <w:rFonts w:ascii="Times New Roman"/>
          <w:b w:val="false"/>
          <w:i w:val="false"/>
          <w:color w:val="000000"/>
          <w:sz w:val="24"/>
        </w:rPr>
        <w:t xml:space="preserve">C)   </w:t>
      </w:r>
      <w:r>
        <w:rPr>
          <w:rFonts w:ascii="Times New Roman"/>
          <w:b w:val="false"/>
          <w:i w:val="false"/>
          <w:color w:val="000000"/>
          <w:sz w:val="24"/>
        </w:rPr>
        <w:t>The substance of the conflict should be analyzed, and the ISA or PCAOB treatment that seems more appropriate is applicable.</w:t>
      </w:r>
      <w:r>
        <w:rPr>
          <w:rFonts w:ascii="Times New Roman"/>
          <w:sz w:val="24"/>
        </w:rPr>
      </w:r>
      <w:r>
        <w:rPr>
          <w:rFonts w:ascii="Times New Roman"/>
          <w:sz w:val="24"/>
        </w:rPr>
        <w:br/>
        <w:tab/>
      </w:r>
      <w:r>
        <w:rPr>
          <w:rFonts w:ascii="Times New Roman"/>
          <w:b w:val="false"/>
          <w:i w:val="false"/>
          <w:color w:val="000000"/>
          <w:sz w:val="24"/>
        </w:rPr>
        <w:t xml:space="preserve">D)   </w:t>
      </w:r>
      <w:r>
        <w:rPr>
          <w:rFonts w:ascii="Times New Roman"/>
          <w:b w:val="false"/>
          <w:i w:val="false"/>
          <w:color w:val="000000"/>
          <w:sz w:val="24"/>
        </w:rPr>
        <w:t>Both sets of standards have equal applicability.</w:t>
      </w:r>
      <w:r>
        <w:rPr>
          <w:rFonts w:ascii="Times New Roman"/>
          <w:sz w:val="24"/>
        </w:rPr>
      </w:r>
      <w:r>
        <w:rPr>
          <w:rFonts w:ascii="Times New Roman"/>
          <w:sz w:val="24"/>
        </w:rPr>
        <w:br/>
        <w:tab/>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45)</w:t>
        <w:tab/>
      </w:r>
      <w:r>
        <w:rPr>
          <w:rFonts w:ascii="Times New Roman"/>
          <w:b w:val="false"/>
          <w:i w:val="false"/>
          <w:color w:val="000000"/>
          <w:sz w:val="24"/>
        </w:rPr>
        <w:t>An audit of the financial statements of a company is referred to as a(n):</w:t>
      </w:r>
      <w:r>
        <w:rPr>
          <w:rFonts w:ascii="Times New Roman"/>
          <w:sz w:val="24"/>
        </w:rPr>
        <w:br/>
      </w:r>
      <w:r>
        <w:rPr>
          <w:rFonts w:ascii="Times New Roman"/>
          <w:sz w:val="24"/>
        </w:rP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b w:val="false"/>
          <w:i w:val="false"/>
          <w:color w:val="000000"/>
          <w:sz w:val="24"/>
        </w:rPr>
        <w:t xml:space="preserve">A)   </w:t>
      </w:r>
      <w:r>
        <w:rPr>
          <w:rFonts w:ascii="Times New Roman"/>
          <w:b w:val="false"/>
          <w:i w:val="false"/>
          <w:color w:val="000000"/>
          <w:sz w:val="24"/>
        </w:rPr>
        <w:t>Financial audit.</w:t>
      </w:r>
      <w:r>
        <w:rPr>
          <w:rFonts w:ascii="Times New Roman"/>
          <w:sz w:val="24"/>
        </w:rPr>
      </w:r>
      <w:r>
        <w:rPr>
          <w:rFonts w:ascii="Times New Roman"/>
          <w:sz w:val="24"/>
        </w:rPr>
        <w:tab/>
        <w:br/>
        <w:tab/>
      </w:r>
      <w:r>
        <w:rPr>
          <w:rFonts w:ascii="Times New Roman"/>
          <w:b w:val="false"/>
          <w:i w:val="false"/>
          <w:color w:val="000000"/>
          <w:sz w:val="24"/>
        </w:rPr>
        <w:t xml:space="preserve">B)   </w:t>
      </w:r>
      <w:r>
        <w:rPr>
          <w:rFonts w:ascii="Times New Roman"/>
          <w:b w:val="false"/>
          <w:i w:val="false"/>
          <w:color w:val="000000"/>
          <w:sz w:val="24"/>
        </w:rPr>
        <w:t>Compliance audit.</w:t>
      </w:r>
      <w:r>
        <w:rPr>
          <w:rFonts w:ascii="Times New Roman"/>
          <w:sz w:val="24"/>
        </w:rPr>
      </w:r>
      <w:r>
        <w:rPr>
          <w:rFonts w:ascii="Times New Roman"/>
          <w:sz w:val="24"/>
        </w:rPr>
        <w:br/>
        <w:tab/>
      </w:r>
      <w:r>
        <w:rPr>
          <w:rFonts w:ascii="Times New Roman"/>
          <w:b w:val="false"/>
          <w:i w:val="false"/>
          <w:color w:val="000000"/>
          <w:sz w:val="24"/>
        </w:rPr>
        <w:t xml:space="preserve">C)   </w:t>
      </w:r>
      <w:r>
        <w:rPr>
          <w:rFonts w:ascii="Times New Roman"/>
          <w:b w:val="false"/>
          <w:i w:val="false"/>
          <w:color w:val="000000"/>
          <w:sz w:val="24"/>
        </w:rPr>
        <w:t>Operational audit.</w:t>
      </w:r>
      <w:r>
        <w:rPr>
          <w:rFonts w:ascii="Times New Roman"/>
          <w:sz w:val="24"/>
        </w:rPr>
      </w:r>
      <w:r>
        <w:rPr>
          <w:rFonts w:ascii="Times New Roman"/>
          <w:sz w:val="24"/>
        </w:rPr>
        <w:br/>
        <w:tab/>
      </w:r>
      <w:r>
        <w:rPr>
          <w:rFonts w:ascii="Times New Roman"/>
          <w:b w:val="false"/>
          <w:i w:val="false"/>
          <w:color w:val="000000"/>
          <w:sz w:val="24"/>
        </w:rPr>
        <w:t xml:space="preserve">D)   </w:t>
      </w:r>
      <w:r>
        <w:rPr>
          <w:rFonts w:ascii="Times New Roman"/>
          <w:b w:val="false"/>
          <w:i w:val="false"/>
          <w:color w:val="000000"/>
          <w:sz w:val="24"/>
        </w:rPr>
        <w:t>Integrated financial audit.</w:t>
      </w:r>
      <w:r>
        <w:rPr>
          <w:rFonts w:ascii="Times New Roman"/>
          <w:sz w:val="24"/>
        </w:rPr>
      </w:r>
      <w:r>
        <w:rPr>
          <w:rFonts w:ascii="Times New Roman"/>
          <w:sz w:val="24"/>
        </w:rPr>
        <w:br/>
        <w:tab/>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46)</w:t>
        <w:tab/>
      </w:r>
      <w:r>
        <w:rPr>
          <w:rFonts w:ascii="Times New Roman"/>
          <w:b w:val="false"/>
          <w:i w:val="false"/>
          <w:color w:val="000000"/>
          <w:sz w:val="24"/>
        </w:rPr>
        <w:t>An act passed by Congress aimed at promoting financial stability improving accountability and transparency in the financial system:</w:t>
      </w:r>
      <w:r>
        <w:rPr>
          <w:rFonts w:ascii="Times New Roman"/>
          <w:sz w:val="24"/>
        </w:rPr>
        <w:br/>
      </w:r>
      <w:r>
        <w:rPr>
          <w:rFonts w:ascii="Times New Roman"/>
          <w:sz w:val="24"/>
        </w:rP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b w:val="false"/>
          <w:i w:val="false"/>
          <w:color w:val="000000"/>
          <w:sz w:val="24"/>
        </w:rPr>
        <w:t xml:space="preserve">A)   </w:t>
      </w:r>
      <w:r>
        <w:rPr>
          <w:rFonts w:ascii="Times New Roman"/>
          <w:b w:val="false"/>
          <w:i w:val="false"/>
          <w:color w:val="000000"/>
          <w:sz w:val="24"/>
        </w:rPr>
        <w:t>Better governance Act.</w:t>
      </w:r>
      <w:r>
        <w:rPr>
          <w:rFonts w:ascii="Times New Roman"/>
          <w:sz w:val="24"/>
        </w:rPr>
      </w:r>
      <w:r>
        <w:rPr>
          <w:rFonts w:ascii="Times New Roman"/>
          <w:sz w:val="24"/>
        </w:rPr>
        <w:tab/>
        <w:br/>
        <w:tab/>
      </w:r>
      <w:r>
        <w:rPr>
          <w:rFonts w:ascii="Times New Roman"/>
          <w:b w:val="false"/>
          <w:i w:val="false"/>
          <w:color w:val="000000"/>
          <w:sz w:val="24"/>
        </w:rPr>
        <w:t xml:space="preserve">B)   </w:t>
      </w:r>
      <w:r>
        <w:rPr>
          <w:rFonts w:ascii="Times New Roman"/>
          <w:b w:val="false"/>
          <w:i w:val="false"/>
          <w:color w:val="000000"/>
          <w:sz w:val="24"/>
        </w:rPr>
        <w:t>Dodd-Frank Act.</w:t>
      </w:r>
      <w:r>
        <w:rPr>
          <w:rFonts w:ascii="Times New Roman"/>
          <w:sz w:val="24"/>
        </w:rPr>
      </w:r>
      <w:r>
        <w:rPr>
          <w:rFonts w:ascii="Times New Roman"/>
          <w:sz w:val="24"/>
        </w:rPr>
        <w:br/>
        <w:tab/>
      </w:r>
      <w:r>
        <w:rPr>
          <w:rFonts w:ascii="Times New Roman"/>
          <w:b w:val="false"/>
          <w:i w:val="false"/>
          <w:color w:val="000000"/>
          <w:sz w:val="24"/>
        </w:rPr>
        <w:t xml:space="preserve">C)   </w:t>
      </w:r>
      <w:r>
        <w:rPr>
          <w:rFonts w:ascii="Times New Roman"/>
          <w:b w:val="false"/>
          <w:i w:val="false"/>
          <w:color w:val="000000"/>
          <w:sz w:val="24"/>
        </w:rPr>
        <w:t>Public Company Accounting Oversight Board Act.</w:t>
      </w:r>
      <w:r>
        <w:rPr>
          <w:rFonts w:ascii="Times New Roman"/>
          <w:sz w:val="24"/>
        </w:rPr>
      </w:r>
      <w:r>
        <w:rPr>
          <w:rFonts w:ascii="Times New Roman"/>
          <w:sz w:val="24"/>
        </w:rPr>
        <w:br/>
        <w:tab/>
      </w:r>
      <w:r>
        <w:rPr>
          <w:rFonts w:ascii="Times New Roman"/>
          <w:b w:val="false"/>
          <w:i w:val="false"/>
          <w:color w:val="000000"/>
          <w:sz w:val="24"/>
        </w:rPr>
        <w:t xml:space="preserve">D)   </w:t>
      </w:r>
      <w:r>
        <w:rPr>
          <w:rFonts w:ascii="Times New Roman"/>
          <w:b w:val="false"/>
          <w:i w:val="false"/>
          <w:color w:val="000000"/>
          <w:sz w:val="24"/>
        </w:rPr>
        <w:t>Sarbanes-Oxley Act.</w:t>
      </w:r>
      <w:r>
        <w:rPr>
          <w:rFonts w:ascii="Times New Roman"/>
          <w:sz w:val="24"/>
        </w:rPr>
      </w:r>
      <w:r>
        <w:rPr>
          <w:rFonts w:ascii="Times New Roman"/>
          <w:sz w:val="24"/>
        </w:rPr>
        <w:br/>
        <w:tab/>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47)</w:t>
        <w:tab/>
      </w:r>
      <w:r>
        <w:rPr>
          <w:rFonts w:ascii="Times New Roman"/>
          <w:b w:val="false"/>
          <w:i w:val="false"/>
          <w:color w:val="000000"/>
          <w:sz w:val="24"/>
        </w:rPr>
        <w:t>The financial statements of a United States public company are most likely to follow:</w:t>
      </w:r>
      <w:r>
        <w:rPr>
          <w:rFonts w:ascii="Times New Roman"/>
          <w:sz w:val="24"/>
        </w:rPr>
        <w:br/>
      </w:r>
      <w:r>
        <w:rPr>
          <w:rFonts w:ascii="Times New Roman"/>
          <w:sz w:val="24"/>
        </w:rP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sz w:val="24"/>
        </w:rPr>
        <w:t>A)   Generally accepted accounting principles.</w:t>
      </w:r>
      <w:r>
        <w:rPr>
          <w:rFonts w:ascii="Times New Roman"/>
          <w:sz w:val="24"/>
        </w:rPr>
        <w:tab/>
        <w:br/>
        <w:tab/>
      </w:r>
      <w:r>
        <w:rPr>
          <w:rFonts w:ascii="Times New Roman"/>
          <w:sz w:val="24"/>
        </w:rPr>
        <w:t>B)   International Standards of Auditing.</w:t>
      </w:r>
      <w:r>
        <w:rPr>
          <w:rFonts w:ascii="Times New Roman"/>
          <w:sz w:val="24"/>
        </w:rPr>
        <w:br/>
        <w:tab/>
      </w:r>
      <w:r>
        <w:rPr>
          <w:rFonts w:ascii="Times New Roman"/>
          <w:sz w:val="24"/>
        </w:rPr>
        <w:t>C)   Public Company Accounting Oversight Board Principles.</w:t>
      </w:r>
      <w:r>
        <w:rPr>
          <w:rFonts w:ascii="Times New Roman"/>
          <w:sz w:val="24"/>
        </w:rPr>
        <w:br/>
        <w:tab/>
      </w:r>
      <w:r>
        <w:rPr>
          <w:rFonts w:ascii="Times New Roman"/>
          <w:sz w:val="24"/>
        </w:rPr>
        <w:t>D)   Quality control standards.</w:t>
      </w:r>
      <w:r>
        <w:rPr>
          <w:rFonts w:ascii="Times New Roman"/>
          <w:sz w:val="24"/>
        </w:rPr>
        <w:br/>
        <w:tab/>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48)</w:t>
        <w:tab/>
      </w:r>
      <w:r>
        <w:rPr>
          <w:rFonts w:ascii="Times New Roman"/>
          <w:b w:val="false"/>
          <w:i w:val="false"/>
          <w:color w:val="000000"/>
          <w:sz w:val="24"/>
        </w:rPr>
        <w:t>The global organization of accounting professional bodies is called:</w:t>
      </w:r>
      <w:r>
        <w:rPr>
          <w:rFonts w:ascii="Times New Roman"/>
          <w:sz w:val="24"/>
        </w:rPr>
        <w:br/>
      </w:r>
      <w:r>
        <w:rPr>
          <w:rFonts w:ascii="Times New Roman"/>
          <w:sz w:val="24"/>
        </w:rP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sz w:val="24"/>
        </w:rPr>
        <w:t>A)   International Auditing and Assurance Standards Board.</w:t>
      </w:r>
      <w:r>
        <w:rPr>
          <w:rFonts w:ascii="Times New Roman"/>
          <w:sz w:val="24"/>
        </w:rPr>
        <w:tab/>
        <w:br/>
        <w:tab/>
      </w:r>
      <w:r>
        <w:rPr>
          <w:rFonts w:ascii="Times New Roman"/>
          <w:sz w:val="24"/>
        </w:rPr>
        <w:t>B)   International Ethics standard Board for Accountants.</w:t>
      </w:r>
      <w:r>
        <w:rPr>
          <w:rFonts w:ascii="Times New Roman"/>
          <w:sz w:val="24"/>
        </w:rPr>
        <w:br/>
        <w:tab/>
      </w:r>
      <w:r>
        <w:rPr>
          <w:rFonts w:ascii="Times New Roman"/>
          <w:sz w:val="24"/>
        </w:rPr>
        <w:t>C)   International Federation of Accountants.</w:t>
      </w:r>
      <w:r>
        <w:rPr>
          <w:rFonts w:ascii="Times New Roman"/>
          <w:sz w:val="24"/>
        </w:rPr>
        <w:br/>
        <w:tab/>
      </w:r>
      <w:r>
        <w:rPr>
          <w:rFonts w:ascii="Times New Roman"/>
          <w:sz w:val="24"/>
        </w:rPr>
        <w:t>D)   International Accountants Standards Setters.</w:t>
      </w:r>
      <w:r>
        <w:rPr>
          <w:rFonts w:ascii="Times New Roman"/>
          <w:sz w:val="24"/>
        </w:rPr>
        <w:br/>
        <w:tab/>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49)</w:t>
        <w:tab/>
      </w:r>
      <w:r>
        <w:rPr>
          <w:rFonts w:ascii="Times New Roman"/>
          <w:b w:val="false"/>
          <w:i w:val="false"/>
          <w:color w:val="000000"/>
          <w:sz w:val="24"/>
        </w:rPr>
        <w:t>Which of the following is correct concerning the Sarbanes-Oxley Act?</w:t>
      </w:r>
      <w:r>
        <w:rPr>
          <w:rFonts w:ascii="Times New Roman"/>
          <w:sz w:val="24"/>
        </w:rPr>
        <w:br/>
      </w:r>
      <w:r>
        <w:rPr>
          <w:rFonts w:ascii="Times New Roman"/>
          <w:sz w:val="24"/>
        </w:rP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sz w:val="24"/>
        </w:rPr>
        <w:t>A)   Effective January 1, 2003, it eliminated the Auditing Standards Board.</w:t>
      </w:r>
      <w:r>
        <w:rPr>
          <w:rFonts w:ascii="Times New Roman"/>
          <w:sz w:val="24"/>
        </w:rPr>
        <w:tab/>
        <w:br/>
        <w:tab/>
      </w:r>
      <w:r>
        <w:rPr>
          <w:rFonts w:ascii="Times New Roman"/>
          <w:sz w:val="24"/>
        </w:rPr>
        <w:t>B)   It applies to all audits conducted in the United States.</w:t>
      </w:r>
      <w:r>
        <w:rPr>
          <w:rFonts w:ascii="Times New Roman"/>
          <w:sz w:val="24"/>
        </w:rPr>
        <w:br/>
        <w:tab/>
      </w:r>
      <w:r>
        <w:rPr>
          <w:rFonts w:ascii="Times New Roman"/>
          <w:sz w:val="24"/>
        </w:rPr>
        <w:t>C)   It prohibits providing any consulting services for an audit client.</w:t>
      </w:r>
      <w:r>
        <w:rPr>
          <w:rFonts w:ascii="Times New Roman"/>
          <w:sz w:val="24"/>
        </w:rPr>
        <w:br/>
        <w:tab/>
      </w:r>
      <w:r>
        <w:rPr>
          <w:rFonts w:ascii="Times New Roman"/>
          <w:sz w:val="24"/>
        </w:rPr>
        <w:t>D)   It requires all accounting firms that audit SEC registrants to register with the Public Company Accounting Oversight Board.</w:t>
      </w:r>
      <w:r>
        <w:rPr>
          <w:rFonts w:ascii="Times New Roman"/>
          <w:sz w:val="24"/>
        </w:rPr>
        <w:br/>
        <w:tab/>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50)</w:t>
        <w:tab/>
      </w:r>
      <w:r>
        <w:rPr>
          <w:rFonts w:ascii="Times New Roman"/>
          <w:b w:val="false"/>
          <w:i w:val="false"/>
          <w:color w:val="000000"/>
          <w:sz w:val="24"/>
        </w:rPr>
        <w:t>An "audit committee" of a publicly held company ordinarily should be made up of:</w:t>
      </w:r>
      <w:r>
        <w:rPr>
          <w:rFonts w:ascii="Times New Roman"/>
          <w:sz w:val="24"/>
        </w:rPr>
        <w:br/>
      </w:r>
      <w:r>
        <w:rPr>
          <w:rFonts w:ascii="Times New Roman"/>
          <w:sz w:val="24"/>
        </w:rP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sz w:val="24"/>
        </w:rPr>
        <w:t>A)   Major stakeholders, including management and representatives of equity interests.</w:t>
      </w:r>
      <w:r>
        <w:rPr>
          <w:rFonts w:ascii="Times New Roman"/>
          <w:sz w:val="24"/>
        </w:rPr>
        <w:tab/>
        <w:br/>
        <w:tab/>
      </w:r>
      <w:r>
        <w:rPr>
          <w:rFonts w:ascii="Times New Roman"/>
          <w:sz w:val="24"/>
        </w:rPr>
        <w:t>B)   The audit partner, the chief financial officers, the legal counsel, and at least one outsider.</w:t>
      </w:r>
      <w:r>
        <w:rPr>
          <w:rFonts w:ascii="Times New Roman"/>
          <w:sz w:val="24"/>
        </w:rPr>
        <w:br/>
        <w:tab/>
      </w:r>
      <w:r>
        <w:rPr>
          <w:rFonts w:ascii="Times New Roman"/>
          <w:b w:val="false"/>
          <w:i w:val="false"/>
          <w:color w:val="000000"/>
          <w:sz w:val="24"/>
        </w:rPr>
        <w:t>C)   Representatives from the client's management.</w:t>
      </w:r>
      <w:r>
        <w:rPr>
          <w:rFonts w:ascii="Times New Roman"/>
          <w:sz w:val="24"/>
        </w:rPr>
      </w:r>
      <w:r>
        <w:rPr>
          <w:rFonts w:ascii="Times New Roman"/>
          <w:sz w:val="24"/>
        </w:rPr>
        <w:br/>
        <w:tab/>
      </w:r>
      <w:r>
        <w:rPr>
          <w:rFonts w:ascii="Times New Roman"/>
          <w:sz w:val="24"/>
        </w:rPr>
        <w:t>D)   Members of the board of directors who are not officers or employees.</w:t>
      </w:r>
      <w:r>
        <w:rPr>
          <w:rFonts w:ascii="Times New Roman"/>
          <w:sz w:val="24"/>
        </w:rPr>
        <w:br/>
        <w:tab/>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51)</w:t>
        <w:tab/>
      </w:r>
      <w:r>
        <w:rPr>
          <w:rFonts w:ascii="Times New Roman"/>
          <w:b w:val="false"/>
          <w:i w:val="false"/>
          <w:color w:val="000000"/>
          <w:sz w:val="24"/>
        </w:rPr>
        <w:t>Attest engagements always have:</w:t>
      </w:r>
      <w:r>
        <w:rPr>
          <w:rFonts w:ascii="Times New Roman"/>
          <w:sz w:val="24"/>
        </w:rPr>
        <w:br/>
      </w:r>
      <w:r>
        <w:rPr>
          <w:rFonts w:ascii="Times New Roman"/>
          <w:sz w:val="24"/>
        </w:rP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sz w:val="24"/>
        </w:rPr>
        <w:t>A)   A written subject title.</w:t>
      </w:r>
      <w:r>
        <w:rPr>
          <w:rFonts w:ascii="Times New Roman"/>
          <w:sz w:val="24"/>
        </w:rPr>
        <w:tab/>
        <w:br/>
        <w:tab/>
      </w:r>
      <w:r>
        <w:rPr>
          <w:rFonts w:ascii="Times New Roman"/>
          <w:sz w:val="24"/>
        </w:rPr>
        <w:t>B)   An examination report.</w:t>
      </w:r>
      <w:r>
        <w:rPr>
          <w:rFonts w:ascii="Times New Roman"/>
          <w:sz w:val="24"/>
        </w:rPr>
        <w:br/>
        <w:tab/>
      </w:r>
      <w:r>
        <w:rPr>
          <w:rFonts w:ascii="Times New Roman"/>
          <w:sz w:val="24"/>
        </w:rPr>
        <w:t>C)   Reasonable assurance.</w:t>
      </w:r>
      <w:r>
        <w:rPr>
          <w:rFonts w:ascii="Times New Roman"/>
          <w:sz w:val="24"/>
        </w:rPr>
        <w:br/>
        <w:tab/>
      </w:r>
      <w:r>
        <w:rPr>
          <w:rFonts w:ascii="Times New Roman"/>
          <w:sz w:val="24"/>
        </w:rPr>
        <w:t>D)   Subject matter.</w:t>
      </w:r>
      <w:r>
        <w:rPr>
          <w:rFonts w:ascii="Times New Roman"/>
          <w:sz w:val="24"/>
        </w:rPr>
        <w:br/>
        <w:tab/>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52)</w:t>
        <w:tab/>
      </w:r>
      <w:r>
        <w:rPr>
          <w:rFonts w:ascii="Times New Roman"/>
          <w:b w:val="false"/>
          <w:i w:val="false"/>
          <w:color w:val="000000"/>
          <w:sz w:val="24"/>
        </w:rPr>
        <w:t>What type of audit is most likely to be involved by bank examiners employed by the Federal Deposit Insurance Corporation?</w:t>
      </w:r>
      <w:r>
        <w:rPr>
          <w:rFonts w:ascii="Times New Roman"/>
          <w:sz w:val="24"/>
        </w:rPr>
        <w:br/>
      </w:r>
      <w:r>
        <w:rPr>
          <w:rFonts w:ascii="Times New Roman"/>
          <w:sz w:val="24"/>
        </w:rP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sz w:val="24"/>
        </w:rPr>
        <w:t>A)   Financial.</w:t>
      </w:r>
      <w:r>
        <w:rPr>
          <w:rFonts w:ascii="Times New Roman"/>
          <w:sz w:val="24"/>
        </w:rPr>
        <w:tab/>
        <w:br/>
        <w:tab/>
      </w:r>
      <w:r>
        <w:rPr>
          <w:rFonts w:ascii="Times New Roman"/>
          <w:sz w:val="24"/>
        </w:rPr>
        <w:t>B)   Compliance.</w:t>
      </w:r>
      <w:r>
        <w:rPr>
          <w:rFonts w:ascii="Times New Roman"/>
          <w:sz w:val="24"/>
        </w:rPr>
        <w:br/>
        <w:tab/>
      </w:r>
      <w:r>
        <w:rPr>
          <w:rFonts w:ascii="Times New Roman"/>
          <w:sz w:val="24"/>
        </w:rPr>
        <w:t>C)   Operational.</w:t>
      </w:r>
      <w:r>
        <w:rPr>
          <w:rFonts w:ascii="Times New Roman"/>
          <w:sz w:val="24"/>
        </w:rPr>
        <w:br/>
        <w:tab/>
      </w:r>
      <w:r>
        <w:rPr>
          <w:rFonts w:ascii="Times New Roman"/>
          <w:sz w:val="24"/>
        </w:rPr>
        <w:t>D)   Integral.</w:t>
      </w:r>
      <w:r>
        <w:rPr>
          <w:rFonts w:ascii="Times New Roman"/>
          <w:sz w:val="24"/>
        </w:rPr>
        <w:br/>
        <w:tab/>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53)</w:t>
        <w:tab/>
      </w:r>
      <w:r>
        <w:rPr>
          <w:rFonts w:ascii="Times New Roman"/>
          <w:b w:val="false"/>
          <w:i w:val="false"/>
          <w:color w:val="000000"/>
          <w:sz w:val="24"/>
        </w:rPr>
        <w:t>For auditing matters relating to a public company an auditor is most likely to use standards issued by the:</w:t>
      </w:r>
      <w:r>
        <w:rPr>
          <w:rFonts w:ascii="Times New Roman"/>
          <w:sz w:val="24"/>
        </w:rPr>
        <w:br/>
      </w:r>
      <w:r>
        <w:rPr>
          <w:rFonts w:ascii="Times New Roman"/>
          <w:sz w:val="24"/>
        </w:rP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sz w:val="24"/>
        </w:rPr>
        <w:t>A)   Auditing Standards Board.</w:t>
      </w:r>
      <w:r>
        <w:rPr>
          <w:rFonts w:ascii="Times New Roman"/>
          <w:sz w:val="24"/>
        </w:rPr>
        <w:tab/>
        <w:br/>
        <w:tab/>
      </w:r>
      <w:r>
        <w:rPr>
          <w:rFonts w:ascii="Times New Roman"/>
          <w:sz w:val="24"/>
        </w:rPr>
        <w:t>B)   Financial Accounting Standards Board.</w:t>
      </w:r>
      <w:r>
        <w:rPr>
          <w:rFonts w:ascii="Times New Roman"/>
          <w:sz w:val="24"/>
        </w:rPr>
        <w:br/>
        <w:tab/>
      </w:r>
      <w:r>
        <w:rPr>
          <w:rFonts w:ascii="Times New Roman"/>
          <w:sz w:val="24"/>
        </w:rPr>
        <w:t>C)   Federal Trade Commission.</w:t>
      </w:r>
      <w:r>
        <w:rPr>
          <w:rFonts w:ascii="Times New Roman"/>
          <w:sz w:val="24"/>
        </w:rPr>
        <w:br/>
        <w:tab/>
      </w:r>
      <w:r>
        <w:rPr>
          <w:rFonts w:ascii="Times New Roman"/>
          <w:sz w:val="24"/>
        </w:rPr>
        <w:t>D)   Public Company Accounting Oversight Board.</w:t>
      </w:r>
      <w:r>
        <w:rPr>
          <w:rFonts w:ascii="Times New Roman"/>
          <w:sz w:val="24"/>
        </w:rPr>
        <w:br/>
        <w:tab/>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54)</w:t>
        <w:tab/>
      </w:r>
      <w:r>
        <w:rPr>
          <w:rFonts w:ascii="Times New Roman"/>
          <w:b w:val="false"/>
          <w:i w:val="false"/>
          <w:color w:val="000000"/>
          <w:sz w:val="24"/>
        </w:rPr>
        <w:t xml:space="preserve">Which of the following is the American Institute of Certified public Accountants </w:t>
      </w:r>
      <w:r>
        <w:rPr>
          <w:rFonts w:ascii="Times New Roman"/>
          <w:b w:val="false"/>
          <w:i/>
          <w:color w:val="000000"/>
          <w:sz w:val="24"/>
        </w:rPr>
        <w:t>least</w:t>
      </w:r>
      <w:r>
        <w:rPr>
          <w:rFonts w:ascii="Times New Roman"/>
          <w:b w:val="false"/>
          <w:i w:val="false"/>
          <w:color w:val="000000"/>
          <w:sz w:val="24"/>
        </w:rPr>
        <w:t xml:space="preserve"> involved with?</w:t>
      </w:r>
      <w:r>
        <w:rPr>
          <w:rFonts w:ascii="Times New Roman"/>
          <w:sz w:val="24"/>
        </w:rPr>
        <w:br/>
      </w:r>
      <w:r>
        <w:rPr>
          <w:rFonts w:ascii="Times New Roman"/>
          <w:sz w:val="24"/>
        </w:rP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b w:val="false"/>
          <w:i w:val="false"/>
          <w:color w:val="000000"/>
          <w:sz w:val="24"/>
        </w:rPr>
        <w:t>A)   Contributing to the profession’s self-regulation.</w:t>
      </w:r>
      <w:r>
        <w:rPr>
          <w:rFonts w:ascii="Times New Roman"/>
          <w:sz w:val="24"/>
        </w:rPr>
      </w:r>
      <w:r>
        <w:rPr>
          <w:rFonts w:ascii="Times New Roman"/>
          <w:sz w:val="24"/>
        </w:rPr>
        <w:tab/>
        <w:br/>
        <w:tab/>
      </w:r>
      <w:r>
        <w:rPr>
          <w:rFonts w:ascii="Times New Roman"/>
          <w:sz w:val="24"/>
        </w:rPr>
        <w:t>B)   Promulgating auditing standards for nonpublic companies.</w:t>
      </w:r>
      <w:r>
        <w:rPr>
          <w:rFonts w:ascii="Times New Roman"/>
          <w:sz w:val="24"/>
        </w:rPr>
        <w:br/>
        <w:tab/>
      </w:r>
      <w:r>
        <w:rPr>
          <w:rFonts w:ascii="Times New Roman"/>
          <w:sz w:val="24"/>
        </w:rPr>
        <w:t>C)   Promulgating auditing standards for public companies.</w:t>
      </w:r>
      <w:r>
        <w:rPr>
          <w:rFonts w:ascii="Times New Roman"/>
          <w:sz w:val="24"/>
        </w:rPr>
        <w:br/>
        <w:tab/>
      </w:r>
      <w:r>
        <w:rPr>
          <w:rFonts w:ascii="Times New Roman"/>
          <w:sz w:val="24"/>
        </w:rPr>
        <w:t>D)   Promoting continuing professional education.</w:t>
      </w:r>
      <w:r>
        <w:rPr>
          <w:rFonts w:ascii="Times New Roman"/>
          <w:sz w:val="24"/>
        </w:rPr>
        <w:br/>
        <w:tab/>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ESSAY. Write your answer in the space provided or on a separate sheet of paper.</w:t>
        <w:br/>
      </w:r>
      <w:r>
        <w:rPr>
          <w:rFonts w:ascii="Times New Roman"/>
          <w:b/>
          <w:sz w:val="24"/>
        </w:rPr>
        <w:t>55)</w:t>
        <w:tab/>
      </w:r>
      <w:r>
        <w:rPr>
          <w:rFonts w:ascii="Times New Roman"/>
          <w:b w:val="false"/>
          <w:i w:val="false"/>
          <w:color w:val="000000"/>
          <w:sz w:val="24"/>
        </w:rPr>
        <w:t>The Sarbanes-Oxley Act of 2002 made significant reforms for public companies and their auditors.</w:t>
      </w:r>
      <w:r>
        <w:rPr>
          <w:rFonts w:ascii="Times New Roman"/>
          <w:sz w:val="24"/>
        </w:rPr>
        <w:br/>
      </w:r>
      <w:r>
        <w:rPr>
          <w:rFonts w:ascii="Times New Roman"/>
          <w:b w:val="false"/>
          <w:i w:val="false"/>
          <w:color w:val="000000"/>
          <w:sz w:val="24"/>
        </w:rPr>
        <w:t xml:space="preserve">   </w:t>
      </w:r>
      <w:r>
        <w:rPr>
          <w:rFonts w:ascii="Times New Roman"/>
          <w:b w:val="false"/>
          <w:i w:val="false"/>
          <w:color w:val="000000"/>
          <w:sz w:val="24"/>
        </w:rPr>
        <w:t>a. Describe the events that led up to the passage of the Act.</w:t>
      </w:r>
      <w:r>
        <w:rPr>
          <w:rFonts w:ascii="Times New Roman"/>
          <w:sz w:val="24"/>
        </w:rPr>
        <w:br/>
      </w:r>
      <w:r>
        <w:rPr>
          <w:rFonts w:ascii="Times New Roman"/>
          <w:b w:val="false"/>
          <w:i w:val="false"/>
          <w:color w:val="000000"/>
          <w:sz w:val="24"/>
        </w:rPr>
        <w:t xml:space="preserve">   </w:t>
      </w:r>
      <w:r>
        <w:rPr>
          <w:rFonts w:ascii="Times New Roman"/>
          <w:b w:val="false"/>
          <w:i w:val="false"/>
          <w:color w:val="000000"/>
          <w:sz w:val="24"/>
        </w:rPr>
        <w:t>b. Describe the major changes made by the Act.</w:t>
      </w:r>
      <w:r>
        <w:rPr>
          <w:rFonts w:ascii="Times New Roman"/>
          <w:sz w:val="24"/>
        </w:rPr>
        <w:br/>
      </w:r>
      <w:r>
        <w:rPr>
          <w:rFonts w:ascii="Times New Roman"/>
          <w:sz w:val="24"/>
        </w:rP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br/>
        <w:br/>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56)</w:t>
        <w:tab/>
      </w:r>
      <w:r>
        <w:rPr>
          <w:rFonts w:ascii="Times New Roman"/>
          <w:b w:val="false"/>
          <w:i w:val="false"/>
          <w:color w:val="000000"/>
          <w:sz w:val="24"/>
        </w:rPr>
        <w:t>Many people confuse the responsibilities of the independent auditors and the client's management with respect to audited financial statements.</w:t>
      </w:r>
      <w:r>
        <w:rPr>
          <w:rFonts w:ascii="Times New Roman"/>
          <w:sz w:val="24"/>
        </w:rPr>
        <w:br/>
      </w:r>
      <w:r>
        <w:rPr>
          <w:rFonts w:ascii="Times New Roman"/>
          <w:b w:val="false"/>
          <w:i w:val="false"/>
          <w:color w:val="000000"/>
          <w:sz w:val="24"/>
        </w:rPr>
        <w:t xml:space="preserve">   </w:t>
      </w:r>
      <w:r>
        <w:rPr>
          <w:rFonts w:ascii="Times New Roman"/>
          <w:b w:val="false"/>
          <w:i w:val="false"/>
          <w:color w:val="000000"/>
          <w:sz w:val="24"/>
        </w:rPr>
        <w:t>a. Describe management's responsibility regarding audited financial statements.</w:t>
      </w:r>
      <w:r>
        <w:rPr>
          <w:rFonts w:ascii="Times New Roman"/>
          <w:sz w:val="24"/>
        </w:rPr>
        <w:br/>
      </w:r>
      <w:r>
        <w:rPr>
          <w:rFonts w:ascii="Times New Roman"/>
          <w:b w:val="false"/>
          <w:i w:val="false"/>
          <w:color w:val="000000"/>
          <w:sz w:val="24"/>
        </w:rPr>
        <w:t xml:space="preserve">   </w:t>
      </w:r>
      <w:r>
        <w:rPr>
          <w:rFonts w:ascii="Times New Roman"/>
          <w:b w:val="false"/>
          <w:i w:val="false"/>
          <w:color w:val="000000"/>
          <w:sz w:val="24"/>
        </w:rPr>
        <w:t>b. Describe the independent auditors' responsibility regarding audited financial statements.</w:t>
      </w:r>
      <w:r>
        <w:rPr>
          <w:rFonts w:ascii="Times New Roman"/>
          <w:sz w:val="24"/>
        </w:rPr>
        <w:br/>
      </w:r>
      <w:r>
        <w:rPr>
          <w:rFonts w:ascii="Times New Roman"/>
          <w:b w:val="false"/>
          <w:i w:val="false"/>
          <w:color w:val="000000"/>
          <w:sz w:val="24"/>
        </w:rPr>
        <w:t xml:space="preserve">   </w:t>
      </w:r>
      <w:r>
        <w:rPr>
          <w:rFonts w:ascii="Times New Roman"/>
          <w:b w:val="false"/>
          <w:i w:val="false"/>
          <w:color w:val="000000"/>
          <w:sz w:val="24"/>
        </w:rPr>
        <w:t>c. Evaluate the following statement: "If the auditors disagree with management regarding an accounting principle used in the financial statements, the auditors should express their views in the notes to the financial statements."</w:t>
      </w:r>
      <w:r>
        <w:rPr>
          <w:rFonts w:ascii="Times New Roman"/>
          <w:sz w:val="24"/>
        </w:rPr>
        <w:br/>
      </w:r>
      <w:r>
        <w:rPr>
          <w:rFonts w:ascii="Times New Roman"/>
          <w:sz w:val="24"/>
        </w:rP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br/>
        <w:br/>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57)</w:t>
        <w:tab/>
      </w:r>
      <w:r>
        <w:rPr>
          <w:rFonts w:ascii="Times New Roman"/>
          <w:b w:val="false"/>
          <w:i w:val="false"/>
          <w:color w:val="000000"/>
          <w:sz w:val="24"/>
        </w:rPr>
        <w:t>An investor is considering investing in one of two companies. The companies have very similar reported financial position and results of operations. However, only one of the companies has its financial statements audited.</w:t>
      </w:r>
      <w:r>
        <w:rPr>
          <w:rFonts w:ascii="Times New Roman"/>
          <w:sz w:val="24"/>
        </w:rPr>
        <w:br/>
      </w:r>
      <w:r>
        <w:rPr>
          <w:rFonts w:ascii="Times New Roman"/>
          <w:b w:val="false"/>
          <w:i w:val="false"/>
          <w:color w:val="000000"/>
          <w:sz w:val="24"/>
        </w:rPr>
        <w:t xml:space="preserve">   </w:t>
      </w:r>
      <w:r>
        <w:rPr>
          <w:rFonts w:ascii="Times New Roman"/>
          <w:b w:val="false"/>
          <w:i w:val="false"/>
          <w:color w:val="000000"/>
          <w:sz w:val="24"/>
        </w:rPr>
        <w:t>a. Describe what creates the demand for an audit in this situation. Include a discussion of how audited financial statements facilitate this investment transaction, and the effect of the audit on business risk and information risk.</w:t>
      </w:r>
      <w:r>
        <w:rPr>
          <w:rFonts w:ascii="Times New Roman"/>
          <w:sz w:val="24"/>
        </w:rPr>
        <w:br/>
      </w:r>
      <w:r>
        <w:rPr>
          <w:rFonts w:ascii="Times New Roman"/>
          <w:b w:val="false"/>
          <w:i w:val="false"/>
          <w:color w:val="000000"/>
          <w:sz w:val="24"/>
        </w:rPr>
        <w:t xml:space="preserve">   </w:t>
      </w:r>
      <w:r>
        <w:rPr>
          <w:rFonts w:ascii="Times New Roman"/>
          <w:b w:val="false"/>
          <w:i w:val="false"/>
          <w:color w:val="000000"/>
          <w:sz w:val="24"/>
        </w:rPr>
        <w:t>b. Identify the potential consequences to the company of not having its financial statements audited.</w:t>
      </w:r>
      <w:r>
        <w:rPr>
          <w:rFonts w:ascii="Times New Roman"/>
          <w:sz w:val="24"/>
        </w:rPr>
        <w:br/>
      </w:r>
      <w:r>
        <w:rPr>
          <w:rFonts w:ascii="Times New Roman"/>
          <w:sz w:val="24"/>
        </w:rP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br/>
        <w:br/>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58)</w:t>
        <w:tab/>
      </w:r>
      <w:r>
        <w:rPr>
          <w:rFonts w:ascii="Times New Roman"/>
          <w:b w:val="false"/>
          <w:i w:val="false"/>
          <w:color w:val="000000"/>
          <w:sz w:val="24"/>
        </w:rPr>
        <w:t>Accountants are regulated by a variety of organizations. Match the statements with the most directly related organization:</w:t>
      </w:r>
      <w:r>
        <w:rPr>
          <w:rFonts w:ascii="Times New Roman"/>
          <w:sz w:val="24"/>
        </w:rPr>
        <w:br/>
      </w:r>
      <w:r>
        <w:rPr>
          <w:rFonts w:ascii="Times New Roman"/>
          <w:b w:val="false"/>
          <w:i w:val="false"/>
          <w:color w:val="000000"/>
          <w:sz w:val="24"/>
        </w:rPr>
        <w:t xml:space="preserve">   </w:t>
      </w:r>
      <w:r>
        <w:rPr>
          <w:rFonts w:ascii="Times New Roman"/>
          <w:b w:val="false"/>
          <w:i w:val="false"/>
          <w:color w:val="000000"/>
          <w:sz w:val="24"/>
        </w:rPr>
        <w:t>● Accounting and Review Services Committee.</w:t>
      </w:r>
      <w:r>
        <w:rPr>
          <w:rFonts w:ascii="Times New Roman"/>
          <w:sz w:val="24"/>
        </w:rPr>
        <w:br/>
      </w:r>
      <w:r>
        <w:rPr>
          <w:rFonts w:ascii="Times New Roman"/>
          <w:b w:val="false"/>
          <w:i w:val="false"/>
          <w:color w:val="000000"/>
          <w:sz w:val="24"/>
        </w:rPr>
        <w:t xml:space="preserve">    </w:t>
      </w:r>
      <w:r>
        <w:rPr>
          <w:rFonts w:ascii="Times New Roman"/>
          <w:b w:val="false"/>
          <w:i w:val="false"/>
          <w:color w:val="000000"/>
          <w:sz w:val="24"/>
        </w:rPr>
        <w:t>● American Institute of Certified Public Accountants.</w:t>
      </w:r>
      <w:r>
        <w:rPr>
          <w:rFonts w:ascii="Times New Roman"/>
          <w:sz w:val="24"/>
        </w:rPr>
        <w:br/>
      </w:r>
      <w:r>
        <w:rPr>
          <w:rFonts w:ascii="Times New Roman"/>
          <w:b w:val="false"/>
          <w:i w:val="false"/>
          <w:color w:val="000000"/>
          <w:sz w:val="24"/>
        </w:rPr>
        <w:t xml:space="preserve">    </w:t>
      </w:r>
      <w:r>
        <w:rPr>
          <w:rFonts w:ascii="Times New Roman"/>
          <w:b w:val="false"/>
          <w:i w:val="false"/>
          <w:color w:val="000000"/>
          <w:sz w:val="24"/>
        </w:rPr>
        <w:t>● Auditing Standards Board.</w:t>
      </w:r>
      <w:r>
        <w:rPr>
          <w:rFonts w:ascii="Times New Roman"/>
          <w:sz w:val="24"/>
        </w:rPr>
        <w:br/>
      </w:r>
      <w:r>
        <w:rPr>
          <w:rFonts w:ascii="Times New Roman"/>
          <w:b w:val="false"/>
          <w:i w:val="false"/>
          <w:color w:val="000000"/>
          <w:sz w:val="24"/>
        </w:rPr>
        <w:t xml:space="preserve">    </w:t>
      </w:r>
      <w:r>
        <w:rPr>
          <w:rFonts w:ascii="Times New Roman"/>
          <w:b w:val="false"/>
          <w:i w:val="false"/>
          <w:color w:val="000000"/>
          <w:sz w:val="24"/>
        </w:rPr>
        <w:t>● Federal Accounting Standards Advisory Board.</w:t>
      </w:r>
      <w:r>
        <w:rPr>
          <w:rFonts w:ascii="Times New Roman"/>
          <w:sz w:val="24"/>
        </w:rPr>
        <w:br/>
      </w:r>
      <w:r>
        <w:rPr>
          <w:rFonts w:ascii="Times New Roman"/>
          <w:b w:val="false"/>
          <w:i w:val="false"/>
          <w:color w:val="000000"/>
          <w:sz w:val="24"/>
        </w:rPr>
        <w:t xml:space="preserve">    </w:t>
      </w:r>
      <w:r>
        <w:rPr>
          <w:rFonts w:ascii="Times New Roman"/>
          <w:b w:val="false"/>
          <w:i w:val="false"/>
          <w:color w:val="000000"/>
          <w:sz w:val="24"/>
        </w:rPr>
        <w:t>● Financial Accounting Standards Board.</w:t>
      </w:r>
      <w:r>
        <w:rPr>
          <w:rFonts w:ascii="Times New Roman"/>
          <w:sz w:val="24"/>
        </w:rPr>
        <w:br/>
      </w:r>
      <w:r>
        <w:rPr>
          <w:rFonts w:ascii="Times New Roman"/>
          <w:b w:val="false"/>
          <w:i w:val="false"/>
          <w:color w:val="000000"/>
          <w:sz w:val="24"/>
        </w:rPr>
        <w:t xml:space="preserve">    </w:t>
      </w:r>
      <w:r>
        <w:rPr>
          <w:rFonts w:ascii="Times New Roman"/>
          <w:b w:val="false"/>
          <w:i w:val="false"/>
          <w:color w:val="000000"/>
          <w:sz w:val="24"/>
        </w:rPr>
        <w:t>● General Accounting Office.</w:t>
      </w:r>
      <w:r>
        <w:rPr>
          <w:rFonts w:ascii="Times New Roman"/>
          <w:sz w:val="24"/>
        </w:rPr>
        <w:br/>
      </w:r>
      <w:r>
        <w:rPr>
          <w:rFonts w:ascii="Times New Roman"/>
          <w:b w:val="false"/>
          <w:i w:val="false"/>
          <w:color w:val="000000"/>
          <w:sz w:val="24"/>
        </w:rPr>
        <w:t xml:space="preserve">    </w:t>
      </w:r>
      <w:r>
        <w:rPr>
          <w:rFonts w:ascii="Times New Roman"/>
          <w:b w:val="false"/>
          <w:i w:val="false"/>
          <w:color w:val="000000"/>
          <w:sz w:val="24"/>
        </w:rPr>
        <w:t>● Government Accounting Standards Board.</w:t>
      </w:r>
      <w:r>
        <w:rPr>
          <w:rFonts w:ascii="Times New Roman"/>
          <w:sz w:val="24"/>
        </w:rPr>
        <w:br/>
      </w:r>
      <w:r>
        <w:rPr>
          <w:rFonts w:ascii="Times New Roman"/>
          <w:b w:val="false"/>
          <w:i w:val="false"/>
          <w:color w:val="000000"/>
          <w:sz w:val="24"/>
        </w:rPr>
        <w:t xml:space="preserve">    </w:t>
      </w:r>
      <w:r>
        <w:rPr>
          <w:rFonts w:ascii="Times New Roman"/>
          <w:b w:val="false"/>
          <w:i w:val="false"/>
          <w:color w:val="000000"/>
          <w:sz w:val="24"/>
        </w:rPr>
        <w:t>● Public Company Accounting Oversight Board.</w:t>
      </w:r>
      <w:r>
        <w:rPr>
          <w:rFonts w:ascii="Times New Roman"/>
          <w:sz w:val="24"/>
        </w:rPr>
        <w:br/>
      </w:r>
      <w:r>
        <w:rPr>
          <w:rFonts w:ascii="Times New Roman"/>
          <w:b w:val="false"/>
          <w:i w:val="false"/>
          <w:color w:val="000000"/>
          <w:sz w:val="24"/>
        </w:rPr>
        <w:t xml:space="preserve">    </w:t>
      </w:r>
      <w:r>
        <w:rPr>
          <w:rFonts w:ascii="Times New Roman"/>
          <w:b w:val="false"/>
          <w:i w:val="false"/>
          <w:color w:val="000000"/>
          <w:sz w:val="24"/>
        </w:rPr>
        <w:t>● Securities and Exchange Commission.</w:t>
      </w:r>
      <w:r>
        <w:rPr>
          <w:rFonts w:ascii="Times New Roman"/>
          <w:sz w:val="24"/>
        </w:rPr>
        <w:br/>
      </w:r>
      <w:r>
        <w:rPr>
          <w:rFonts w:ascii="Times New Roman"/>
          <w:b w:val="false"/>
          <w:i w:val="false"/>
          <w:color w:val="000000"/>
          <w:sz w:val="24"/>
        </w:rPr>
        <w:t xml:space="preserve">    </w:t>
      </w:r>
      <w:r>
        <w:rPr>
          <w:rFonts w:ascii="Times New Roman"/>
          <w:b w:val="false"/>
          <w:i w:val="false"/>
          <w:color w:val="000000"/>
          <w:sz w:val="24"/>
        </w:rPr>
        <w:t>● State Boards of Accountancy.</w:t>
      </w:r>
      <w:r>
        <w:rPr>
          <w:rFonts w:ascii="Times New Roman"/>
          <w:sz w:val="24"/>
        </w:rPr>
        <w:br/>
      </w:r>
      <w:r>
        <w:rPr>
          <w:rFonts w:ascii="Times New Roman"/>
          <w:b w:val="false"/>
          <w:i w:val="false"/>
          <w:color w:val="000000"/>
          <w:sz w:val="24"/>
        </w:rPr>
        <w:t xml:space="preserve">   </w:t>
      </w:r>
      <w:r>
        <w:rPr>
          <w:rFonts w:ascii="Times New Roman"/>
          <w:b w:val="false"/>
          <w:i w:val="false"/>
          <w:color w:val="000000"/>
          <w:sz w:val="24"/>
        </w:rPr>
        <w:t>Organizations may be used once, more than once, or not at all.</w:t>
      </w:r>
      <w:r>
        <w:rPr>
          <w:rFonts w:ascii="Times New Roman"/>
          <w:sz w:val="24"/>
        </w:rPr>
        <w:br/>
      </w:r>
      <w:r>
        <w:rPr>
          <w:rFonts w:ascii="Times New Roman"/>
          <w:sz w:val="24"/>
        </w:rPr>
      </w:r>
    </w:p>
    <w:tbl>
      <w:tblPr>
        <w:tblLayout w:type="autofit"/>
      </w:tblPr>
      <w:tr>
        <w:trPr/>
        <w:tc>
          <w:tcPr>
            <w:tcW w:w="7917" w:type="dxa"/>
            <w:tcBorders/>
            <w:tcMar>
              <w:top w:w="15" w:type="dxa"/>
              <w:left w:w="15" w:type="dxa"/>
              <w:bottom w:w="15" w:type="dxa"/>
              <w:right w:w="15" w:type="dxa"/>
            </w:tcMar>
            <w:vAlign w:val="top"/>
          </w:tcPr>
          <w:p>
            <w:pPr>
              <w:spacing w:after="0"/>
              <w:ind w:left="0"/>
              <w:jc w:val="center"/>
            </w:pPr>
            <w:r>
              <w:rPr>
                <w:rFonts w:ascii="Courier New" w:hAnsi="Courier New"/>
                <w:b/>
                <w:i w:val="false"/>
                <w:color w:val="000000"/>
                <w:sz w:val="22"/>
              </w:rPr>
              <w:t>Statements</w:t>
            </w:r>
          </w:p>
        </w:tc>
        <w:tc>
          <w:tcPr>
            <w:tcW w:w="7783" w:type="dxa"/>
            <w:tcBorders/>
            <w:tcMar>
              <w:top w:w="15" w:type="dxa"/>
              <w:left w:w="15" w:type="dxa"/>
              <w:bottom w:w="15" w:type="dxa"/>
              <w:right w:w="15" w:type="dxa"/>
            </w:tcMar>
            <w:vAlign w:val="top"/>
          </w:tcPr>
          <w:p>
            <w:pPr>
              <w:spacing w:after="0"/>
              <w:ind w:left="0"/>
              <w:jc w:val="center"/>
            </w:pPr>
            <w:r>
              <w:rPr>
                <w:rFonts w:ascii="Courier New" w:hAnsi="Courier New"/>
                <w:b/>
                <w:i w:val="false"/>
                <w:color w:val="000000"/>
                <w:sz w:val="22"/>
              </w:rPr>
              <w:t>Organizations</w:t>
            </w:r>
          </w:p>
        </w:tc>
      </w:tr>
      <w:tr>
        <w:trPr/>
        <w:tc>
          <w:tcPr>
            <w:tcW w:w="7917" w:type="dxa"/>
            <w:tcBorders/>
            <w:tcMar>
              <w:top w:w="15" w:type="dxa"/>
              <w:left w:w="150" w:type="dxa"/>
              <w:bottom w:w="15" w:type="dxa"/>
              <w:right w:w="15" w:type="dxa"/>
            </w:tcMar>
            <w:vAlign w:val="top"/>
          </w:tcPr>
          <w:p>
            <w:pPr>
              <w:spacing w:after="0"/>
              <w:ind w:left="0"/>
              <w:jc w:val="left"/>
            </w:pPr>
            <w:r>
              <w:rPr>
                <w:rFonts w:ascii="Courier New" w:hAnsi="Courier New"/>
                <w:b/>
                <w:i w:val="false"/>
                <w:color w:val="000000"/>
                <w:sz w:val="22"/>
              </w:rPr>
              <w:t>A. Develops accounting standards for public and nonpublic companies.</w:t>
            </w:r>
          </w:p>
        </w:tc>
        <w:tc>
          <w:tcPr>
            <w:tcW w:w="7783" w:type="dxa"/>
            <w:tcBorders/>
            <w:tcMar>
              <w:top w:w="15" w:type="dxa"/>
              <w:left w:w="15" w:type="dxa"/>
              <w:bottom w:w="15" w:type="dxa"/>
              <w:right w:w="15" w:type="dxa"/>
            </w:tcMar>
            <w:vAlign w:val="top"/>
          </w:tcPr>
          <w:p/>
        </w:tc>
      </w:tr>
      <w:tr>
        <w:trPr/>
        <w:tc>
          <w:tcPr>
            <w:tcW w:w="7917" w:type="dxa"/>
            <w:tcBorders/>
            <w:tcMar>
              <w:top w:w="15" w:type="dxa"/>
              <w:left w:w="150" w:type="dxa"/>
              <w:bottom w:w="15" w:type="dxa"/>
              <w:right w:w="15" w:type="dxa"/>
            </w:tcMar>
            <w:vAlign w:val="top"/>
          </w:tcPr>
          <w:p>
            <w:pPr>
              <w:spacing w:after="0"/>
              <w:ind w:left="0"/>
              <w:jc w:val="left"/>
            </w:pPr>
            <w:r>
              <w:rPr>
                <w:rFonts w:ascii="Courier New" w:hAnsi="Courier New"/>
                <w:b/>
                <w:i w:val="false"/>
                <w:color w:val="000000"/>
                <w:sz w:val="22"/>
              </w:rPr>
              <w:t>B. Develops accounting standards for the U.S. Government.</w:t>
            </w:r>
          </w:p>
        </w:tc>
        <w:tc>
          <w:tcPr>
            <w:tcW w:w="7783" w:type="dxa"/>
            <w:tcBorders/>
            <w:tcMar>
              <w:top w:w="15" w:type="dxa"/>
              <w:left w:w="15" w:type="dxa"/>
              <w:bottom w:w="15" w:type="dxa"/>
              <w:right w:w="15" w:type="dxa"/>
            </w:tcMar>
            <w:vAlign w:val="top"/>
          </w:tcPr>
          <w:p/>
        </w:tc>
      </w:tr>
      <w:tr>
        <w:trPr/>
        <w:tc>
          <w:tcPr>
            <w:tcW w:w="7917" w:type="dxa"/>
            <w:tcBorders/>
            <w:tcMar>
              <w:top w:w="15" w:type="dxa"/>
              <w:left w:w="150" w:type="dxa"/>
              <w:bottom w:w="15" w:type="dxa"/>
              <w:right w:w="15" w:type="dxa"/>
            </w:tcMar>
            <w:vAlign w:val="top"/>
          </w:tcPr>
          <w:p>
            <w:pPr>
              <w:spacing w:after="0"/>
              <w:ind w:left="0"/>
              <w:jc w:val="left"/>
            </w:pPr>
            <w:r>
              <w:rPr>
                <w:rFonts w:ascii="Courier New" w:hAnsi="Courier New"/>
                <w:b/>
                <w:i w:val="false"/>
                <w:color w:val="000000"/>
                <w:sz w:val="22"/>
              </w:rPr>
              <w:t>C. Improves standards of financial accounting for state and local government entities.</w:t>
            </w:r>
          </w:p>
        </w:tc>
        <w:tc>
          <w:tcPr>
            <w:tcW w:w="7783" w:type="dxa"/>
            <w:tcBorders/>
            <w:tcMar>
              <w:top w:w="15" w:type="dxa"/>
              <w:left w:w="15" w:type="dxa"/>
              <w:bottom w:w="15" w:type="dxa"/>
              <w:right w:w="15" w:type="dxa"/>
            </w:tcMar>
            <w:vAlign w:val="top"/>
          </w:tcPr>
          <w:p/>
        </w:tc>
      </w:tr>
      <w:tr>
        <w:trPr/>
        <w:tc>
          <w:tcPr>
            <w:tcW w:w="7917" w:type="dxa"/>
            <w:tcBorders/>
            <w:tcMar>
              <w:top w:w="15" w:type="dxa"/>
              <w:left w:w="150" w:type="dxa"/>
              <w:bottom w:w="15" w:type="dxa"/>
              <w:right w:w="15" w:type="dxa"/>
            </w:tcMar>
            <w:vAlign w:val="top"/>
          </w:tcPr>
          <w:p>
            <w:pPr>
              <w:spacing w:after="0"/>
              <w:ind w:left="0"/>
              <w:jc w:val="left"/>
            </w:pPr>
            <w:r>
              <w:rPr>
                <w:rFonts w:ascii="Courier New" w:hAnsi="Courier New"/>
                <w:b/>
                <w:i w:val="false"/>
                <w:color w:val="000000"/>
                <w:sz w:val="22"/>
              </w:rPr>
              <w:t>D. Issues auditing standards for public companies.</w:t>
            </w:r>
          </w:p>
        </w:tc>
        <w:tc>
          <w:tcPr>
            <w:tcW w:w="7783" w:type="dxa"/>
            <w:tcBorders/>
            <w:tcMar>
              <w:top w:w="15" w:type="dxa"/>
              <w:left w:w="15" w:type="dxa"/>
              <w:bottom w:w="15" w:type="dxa"/>
              <w:right w:w="15" w:type="dxa"/>
            </w:tcMar>
            <w:vAlign w:val="top"/>
          </w:tcPr>
          <w:p/>
        </w:tc>
      </w:tr>
      <w:tr>
        <w:trPr/>
        <w:tc>
          <w:tcPr>
            <w:tcW w:w="7917" w:type="dxa"/>
            <w:tcBorders/>
            <w:tcMar>
              <w:top w:w="15" w:type="dxa"/>
              <w:left w:w="150" w:type="dxa"/>
              <w:bottom w:w="15" w:type="dxa"/>
              <w:right w:w="15" w:type="dxa"/>
            </w:tcMar>
            <w:vAlign w:val="top"/>
          </w:tcPr>
          <w:p>
            <w:pPr>
              <w:spacing w:after="0"/>
              <w:ind w:left="0"/>
              <w:jc w:val="left"/>
            </w:pPr>
            <w:r>
              <w:rPr>
                <w:rFonts w:ascii="Courier New" w:hAnsi="Courier New"/>
                <w:b/>
                <w:i w:val="false"/>
                <w:color w:val="000000"/>
                <w:sz w:val="22"/>
              </w:rPr>
              <w:t>E. Issues CPA certificates.</w:t>
            </w:r>
          </w:p>
        </w:tc>
        <w:tc>
          <w:tcPr>
            <w:tcW w:w="7783" w:type="dxa"/>
            <w:tcBorders/>
            <w:tcMar>
              <w:top w:w="15" w:type="dxa"/>
              <w:left w:w="15" w:type="dxa"/>
              <w:bottom w:w="15" w:type="dxa"/>
              <w:right w:w="15" w:type="dxa"/>
            </w:tcMar>
            <w:vAlign w:val="top"/>
          </w:tcPr>
          <w:p/>
        </w:tc>
      </w:tr>
      <w:tr>
        <w:trPr/>
        <w:tc>
          <w:tcPr>
            <w:tcW w:w="7917" w:type="dxa"/>
            <w:tcBorders/>
            <w:tcMar>
              <w:top w:w="15" w:type="dxa"/>
              <w:left w:w="150" w:type="dxa"/>
              <w:bottom w:w="15" w:type="dxa"/>
              <w:right w:w="15" w:type="dxa"/>
            </w:tcMar>
            <w:vAlign w:val="top"/>
          </w:tcPr>
          <w:p>
            <w:pPr>
              <w:spacing w:after="0"/>
              <w:ind w:left="0"/>
              <w:jc w:val="left"/>
            </w:pPr>
            <w:r>
              <w:rPr>
                <w:rFonts w:ascii="Courier New" w:hAnsi="Courier New"/>
                <w:b/>
                <w:i w:val="false"/>
                <w:color w:val="000000"/>
                <w:sz w:val="22"/>
              </w:rPr>
              <w:t>F. Prepares the CPA exam.</w:t>
            </w:r>
          </w:p>
        </w:tc>
        <w:tc>
          <w:tcPr>
            <w:tcW w:w="7783" w:type="dxa"/>
            <w:tcBorders/>
            <w:tcMar>
              <w:top w:w="15" w:type="dxa"/>
              <w:left w:w="15" w:type="dxa"/>
              <w:bottom w:w="15" w:type="dxa"/>
              <w:right w:w="15" w:type="dxa"/>
            </w:tcMar>
            <w:vAlign w:val="top"/>
          </w:tcPr>
          <w:p/>
        </w:tc>
      </w:tr>
    </w:tbl>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i w:val="false"/>
          <w:color w:val="000000"/>
          <w:sz w:val="24"/>
        </w:rPr>
        <w:t>Organizations:</w:t>
      </w:r>
      <w:r>
        <w:rPr>
          <w:rFonts w:ascii="Times New Roman"/>
          <w:b w:val="false"/>
          <w:i w:val="false"/>
          <w:color w:val="000000"/>
          <w:sz w:val="24"/>
        </w:rPr>
        <w:t xml:space="preserve"> American Institute of Certified Public Accountants, Federal Accounting Standards Advisory Board, Financial Accounting Standards Board, Government Accounting Standards Board, Public Company Accounting Oversight Board, State Boards of Accountancy.</w:t>
      </w:r>
      <w:r>
        <w:rPr>
          <w:rFonts w:ascii="Times New Roman"/>
          <w:sz w:val="24"/>
        </w:rPr>
        <w:br/>
      </w:r>
      <w:r>
        <w:rPr>
          <w:rFonts w:ascii="Times New Roman"/>
          <w:sz w:val="24"/>
        </w:rP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br/>
        <w:br/>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36"/>
        </w:rPr>
        <w:br w:type="page"/>
        <w:t>Answer Key</w:t>
        <w:br/>
        <w:br/>
      </w:r>
      <w:r>
        <w:rPr>
          <w:rFonts w:ascii="Times New Roman"/>
          <w:sz w:val="32"/>
        </w:rPr>
        <w:t>Test name: Whittington 22E CH1</w:t>
        <w:br/>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1) TRUE</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2) TRUE</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3) FALSE</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4) TRUE</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5) FALSE</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6) FALSE</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7) FALSE</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8) TRUE</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9) FALSE</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10) TRUE</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11) A</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12) A</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13) B</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14) A</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15) D</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16) A</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17) C</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18) B</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19) D</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20) D</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21) C</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22) B</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23) B</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24) A</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25) C</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26) C</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27) B</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28) A</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29) C</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30) B</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31) B</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32) D</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33) B</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34) A</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35) C</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36) D</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37) B</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38) C</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39) A</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40) C</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41) B</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42) B</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43) B</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44) B</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45) A</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46) B</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47) A</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48) C</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49) D</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50) D</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51) D</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52) B</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53) D</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54) C</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hAnsi="Times New Roman"/>
          <w:b w:val="false"/>
          <w:i w:val="false"/>
          <w:color w:val="000000"/>
          <w:sz w:val="32"/>
        </w:rPr>
        <w:t xml:space="preserve">55)   </w:t>
      </w:r>
      <w:r>
        <w:rPr>
          <w:rFonts w:ascii="Times New Roman" w:hAnsi="Times New Roman"/>
          <w:b w:val="false"/>
          <w:i w:val="false"/>
          <w:color w:val="000000"/>
          <w:sz w:val="32"/>
        </w:rPr>
        <w:t>a. The events leading up to the passage of the Sarbanes-Oxley Act include:</w:t>
      </w:r>
      <w:r>
        <w:br/>
      </w:r>
      <w:r>
        <w:rPr>
          <w:rFonts w:ascii="Times New Roman" w:hAnsi="Times New Roman"/>
          <w:b w:val="false"/>
          <w:i w:val="false"/>
          <w:color w:val="000000"/>
          <w:sz w:val="32"/>
        </w:rPr>
        <w:t xml:space="preserve">   </w:t>
      </w:r>
      <w:r>
        <w:rPr>
          <w:rFonts w:ascii="Times New Roman" w:hAnsi="Times New Roman"/>
          <w:b w:val="false"/>
          <w:i w:val="false"/>
          <w:color w:val="000000"/>
          <w:sz w:val="32"/>
        </w:rPr>
        <w:t>● A large number of misstatements of financial statements, many of which resulted from fraudulent financial reporting. Notably including WorldCom and Enron.</w:t>
      </w:r>
      <w:r>
        <w:br/>
      </w:r>
      <w:r>
        <w:rPr>
          <w:rFonts w:ascii="Times New Roman" w:hAnsi="Times New Roman"/>
          <w:b w:val="false"/>
          <w:i w:val="false"/>
          <w:color w:val="000000"/>
          <w:sz w:val="32"/>
        </w:rPr>
        <w:t xml:space="preserve">    </w:t>
      </w:r>
      <w:r>
        <w:rPr>
          <w:rFonts w:ascii="Times New Roman" w:hAnsi="Times New Roman"/>
          <w:b w:val="false"/>
          <w:i w:val="false"/>
          <w:color w:val="000000"/>
          <w:sz w:val="32"/>
        </w:rPr>
        <w:t>● The conviction of the Big 5 accounting firm of Arthur Andersen on charges of destroying evidence.</w:t>
      </w:r>
      <w:r>
        <w:br/>
      </w:r>
      <w:r>
        <w:rPr>
          <w:rFonts w:ascii="Times New Roman" w:hAnsi="Times New Roman"/>
          <w:b w:val="false"/>
          <w:i w:val="false"/>
          <w:color w:val="000000"/>
          <w:sz w:val="32"/>
        </w:rPr>
        <w:t xml:space="preserve">   </w:t>
      </w:r>
      <w:r>
        <w:rPr>
          <w:rFonts w:ascii="Times New Roman" w:hAnsi="Times New Roman"/>
          <w:b w:val="false"/>
          <w:i w:val="false"/>
          <w:color w:val="000000"/>
          <w:sz w:val="32"/>
        </w:rPr>
        <w:t>b. The major reforms made the Act include:</w:t>
      </w:r>
      <w:r>
        <w:br/>
      </w:r>
      <w:r>
        <w:rPr>
          <w:rFonts w:ascii="Times New Roman" w:hAnsi="Times New Roman"/>
          <w:b w:val="false"/>
          <w:i w:val="false"/>
          <w:color w:val="000000"/>
          <w:sz w:val="32"/>
        </w:rPr>
        <w:t xml:space="preserve">   </w:t>
      </w:r>
      <w:r>
        <w:rPr>
          <w:rFonts w:ascii="Times New Roman" w:hAnsi="Times New Roman"/>
          <w:b w:val="false"/>
          <w:i w:val="false"/>
          <w:color w:val="000000"/>
          <w:sz w:val="32"/>
        </w:rPr>
        <w:t>● Tougher penalties for fraud.</w:t>
      </w:r>
      <w:r>
        <w:br/>
      </w:r>
      <w:r>
        <w:rPr>
          <w:rFonts w:ascii="Times New Roman" w:hAnsi="Times New Roman"/>
          <w:b w:val="false"/>
          <w:i w:val="false"/>
          <w:color w:val="000000"/>
          <w:sz w:val="32"/>
        </w:rPr>
        <w:t xml:space="preserve">    </w:t>
      </w:r>
      <w:r>
        <w:rPr>
          <w:rFonts w:ascii="Times New Roman" w:hAnsi="Times New Roman"/>
          <w:b w:val="false"/>
          <w:i w:val="false"/>
          <w:color w:val="000000"/>
          <w:sz w:val="32"/>
        </w:rPr>
        <w:t>● Restrictions on the types of consulting services that may be provided by auditors to their public audit clients.</w:t>
      </w:r>
      <w:r>
        <w:br/>
      </w:r>
      <w:r>
        <w:rPr>
          <w:rFonts w:ascii="Times New Roman" w:hAnsi="Times New Roman"/>
          <w:b w:val="false"/>
          <w:i w:val="false"/>
          <w:color w:val="000000"/>
          <w:sz w:val="32"/>
        </w:rPr>
        <w:t xml:space="preserve">    </w:t>
      </w:r>
      <w:r>
        <w:rPr>
          <w:rFonts w:ascii="Times New Roman" w:hAnsi="Times New Roman"/>
          <w:b w:val="false"/>
          <w:i w:val="false"/>
          <w:color w:val="000000"/>
          <w:sz w:val="32"/>
        </w:rPr>
        <w:t>● The creation of the Public Company Accounting Oversight Board to establish auditing standards and oversee accounting firms that audit public companies.</w:t>
      </w:r>
      <w:r>
        <w:br/>
      </w:r>
      <w:r>
        <w:rPr>
          <w:rFonts w:ascii="Times New Roman" w:hAnsi="Times New Roman"/>
          <w:b w:val="false"/>
          <w:i w:val="false"/>
          <w:color w:val="000000"/>
          <w:sz w:val="32"/>
        </w:rPr>
        <w:t xml:space="preserve">    </w:t>
      </w:r>
      <w:r>
        <w:rPr>
          <w:rFonts w:ascii="Times New Roman" w:hAnsi="Times New Roman"/>
          <w:b w:val="false"/>
          <w:i w:val="false"/>
          <w:color w:val="000000"/>
          <w:sz w:val="32"/>
        </w:rPr>
        <w:t>● Requirements for management to make an assertion about the effectiveness of internal control.</w:t>
      </w:r>
      <w:r>
        <w:br/>
      </w:r>
      <w:r>
        <w:rPr>
          <w:rFonts w:ascii="Times New Roman" w:hAnsi="Times New Roman"/>
          <w:b w:val="false"/>
          <w:i w:val="false"/>
          <w:color w:val="000000"/>
          <w:sz w:val="32"/>
        </w:rPr>
        <w:t xml:space="preserve">    </w:t>
      </w:r>
      <w:r>
        <w:rPr>
          <w:rFonts w:ascii="Times New Roman" w:hAnsi="Times New Roman"/>
          <w:b w:val="false"/>
          <w:i w:val="false"/>
          <w:color w:val="000000"/>
          <w:sz w:val="32"/>
        </w:rPr>
        <w:t>● Requirements for auditors of public companies to audit and report on internal control.</w:t>
      </w:r>
      <w:r>
        <w:br/>
      </w:r>
      <w:r>
        <w:rPr>
          <w:rFonts w:ascii="Times New Roman" w:hAnsi="Times New Roman"/>
          <w:b w:val="false"/>
          <w:i w:val="false"/>
          <w:color w:val="000000"/>
          <w:sz w:val="32"/>
        </w:rPr>
        <w:t xml:space="preserve">   </w:t>
      </w:r>
      <w:r>
        <w:rPr>
          <w:rFonts w:ascii="Times New Roman"/>
          <w:sz w:val="32"/>
        </w:rP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hAnsi="Times New Roman"/>
          <w:b w:val="false"/>
          <w:i w:val="false"/>
          <w:color w:val="000000"/>
          <w:sz w:val="32"/>
        </w:rPr>
        <w:t xml:space="preserve">56)   </w:t>
      </w:r>
      <w:r>
        <w:rPr>
          <w:rFonts w:ascii="Times New Roman" w:hAnsi="Times New Roman"/>
          <w:b w:val="false"/>
          <w:i w:val="false"/>
          <w:color w:val="000000"/>
          <w:sz w:val="32"/>
        </w:rPr>
        <w:t>a. Management has primary responsibility for the fairness of the financial statements and internal control.</w:t>
      </w:r>
      <w:r>
        <w:br/>
      </w:r>
      <w:r>
        <w:rPr>
          <w:rFonts w:ascii="Times New Roman" w:hAnsi="Times New Roman"/>
          <w:b w:val="false"/>
          <w:i w:val="false"/>
          <w:color w:val="000000"/>
          <w:sz w:val="32"/>
        </w:rPr>
        <w:t xml:space="preserve">   </w:t>
      </w:r>
      <w:r>
        <w:rPr>
          <w:rFonts w:ascii="Times New Roman" w:hAnsi="Times New Roman"/>
          <w:b w:val="false"/>
          <w:i w:val="false"/>
          <w:color w:val="000000"/>
          <w:sz w:val="32"/>
        </w:rPr>
        <w:t>b. The auditors are responsible for performing an independent audit of the financial statements and issuing a report on them in accordance with generally accepted auditing standards.</w:t>
      </w:r>
      <w:r>
        <w:br/>
      </w:r>
      <w:r>
        <w:rPr>
          <w:rFonts w:ascii="Times New Roman" w:hAnsi="Times New Roman"/>
          <w:b w:val="false"/>
          <w:i w:val="false"/>
          <w:color w:val="000000"/>
          <w:sz w:val="32"/>
        </w:rPr>
        <w:t xml:space="preserve">   </w:t>
      </w:r>
      <w:r>
        <w:rPr>
          <w:rFonts w:ascii="Times New Roman" w:hAnsi="Times New Roman"/>
          <w:b w:val="false"/>
          <w:i w:val="false"/>
          <w:color w:val="000000"/>
          <w:sz w:val="32"/>
        </w:rPr>
        <w:t>c. The statement if false. The notes to the financial statements should contain only representations of management. The auditors should express their reservations in their report.</w:t>
      </w:r>
      <w:r>
        <w:br/>
      </w:r>
      <w:r>
        <w:rPr>
          <w:rFonts w:ascii="Times New Roman"/>
          <w:sz w:val="32"/>
        </w:rP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hAnsi="Times New Roman"/>
          <w:b w:val="false"/>
          <w:i w:val="false"/>
          <w:color w:val="000000"/>
          <w:sz w:val="32"/>
        </w:rPr>
        <w:t xml:space="preserve">57)   </w:t>
      </w:r>
      <w:r>
        <w:rPr>
          <w:rFonts w:ascii="Times New Roman" w:hAnsi="Times New Roman"/>
          <w:b w:val="false"/>
          <w:i w:val="false"/>
          <w:color w:val="000000"/>
          <w:sz w:val="32"/>
        </w:rPr>
        <w:t>a. Audits add credibility to the financial statements of the company. The individual can invest in the company knowing that there is a low probability that the financial statements depart materially from generally accepted accounting principles. Audited financial statements facilitate this transaction by reducing risk related to the investment. Specifically, audits reduce information risk-the risk that information used to make the investment decision is misstated-related to the financial statements. Audited financial statements do not directly affect business risk, which is the risk that the company will not be able to meet its financial obligations.</w:t>
      </w:r>
      <w:r>
        <w:br/>
      </w:r>
      <w:r>
        <w:rPr>
          <w:rFonts w:ascii="Times New Roman" w:hAnsi="Times New Roman"/>
          <w:b w:val="false"/>
          <w:i w:val="false"/>
          <w:color w:val="000000"/>
          <w:sz w:val="32"/>
        </w:rPr>
        <w:t xml:space="preserve">   </w:t>
      </w:r>
      <w:r>
        <w:rPr>
          <w:rFonts w:ascii="Times New Roman" w:hAnsi="Times New Roman"/>
          <w:b w:val="false"/>
          <w:i w:val="false"/>
          <w:color w:val="000000"/>
          <w:sz w:val="32"/>
        </w:rPr>
        <w:t>b. The potential consequences of not having an audit are:</w:t>
      </w:r>
      <w:r>
        <w:br/>
      </w:r>
      <w:r>
        <w:rPr>
          <w:rFonts w:ascii="Times New Roman" w:hAnsi="Times New Roman"/>
          <w:b w:val="false"/>
          <w:i w:val="false"/>
          <w:color w:val="000000"/>
          <w:sz w:val="32"/>
        </w:rPr>
        <w:t xml:space="preserve">   </w:t>
      </w:r>
      <w:r>
        <w:rPr>
          <w:rFonts w:ascii="Times New Roman" w:hAnsi="Times New Roman"/>
          <w:b w:val="false"/>
          <w:i w:val="false"/>
          <w:color w:val="000000"/>
          <w:sz w:val="32"/>
        </w:rPr>
        <w:t>● If the investor is particularly risk averse, he or she may not invest in the company at all.</w:t>
      </w:r>
      <w:r>
        <w:br/>
      </w:r>
      <w:r>
        <w:rPr>
          <w:rFonts w:ascii="Times New Roman" w:hAnsi="Times New Roman"/>
          <w:b w:val="false"/>
          <w:i w:val="false"/>
          <w:color w:val="000000"/>
          <w:sz w:val="32"/>
        </w:rPr>
        <w:t xml:space="preserve">    </w:t>
      </w:r>
      <w:r>
        <w:rPr>
          <w:rFonts w:ascii="Times New Roman" w:hAnsi="Times New Roman"/>
          <w:b w:val="false"/>
          <w:i w:val="false"/>
          <w:color w:val="000000"/>
          <w:sz w:val="32"/>
        </w:rPr>
        <w:t>● If the investor decides to invest in the company, he or she will not be willing to pay as high a price because the investor will want to be compensated for the additional risk that is involved in relying upon unaudited financial statements.</w:t>
      </w:r>
      <w:r>
        <w:br/>
      </w:r>
      <w:r>
        <w:rPr>
          <w:rFonts w:ascii="Times New Roman" w:hAnsi="Times New Roman"/>
          <w:b w:val="false"/>
          <w:i w:val="false"/>
          <w:color w:val="000000"/>
          <w:sz w:val="32"/>
        </w:rPr>
        <w:t xml:space="preserve">   </w:t>
      </w:r>
      <w:r>
        <w:rPr>
          <w:rFonts w:ascii="Times New Roman"/>
          <w:sz w:val="32"/>
        </w:rP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58)</w:t>
      </w:r>
    </w:p>
    <w:tbl>
      <w:tblPr>
        <w:tblLayout w:type="autofit"/>
      </w:tblPr>
      <w:tr>
        <w:trPr/>
        <w:tc>
          <w:tcPr>
            <w:tcW w:w="7903" w:type="dxa"/>
            <w:tcBorders/>
            <w:tcMar>
              <w:top w:w="15" w:type="dxa"/>
              <w:left w:w="15" w:type="dxa"/>
              <w:bottom w:w="15" w:type="dxa"/>
              <w:right w:w="15" w:type="dxa"/>
            </w:tcMar>
            <w:vAlign w:val="top"/>
          </w:tcPr>
          <w:p>
            <w:pPr>
              <w:spacing w:after="0"/>
              <w:ind w:left="0"/>
              <w:jc w:val="center"/>
            </w:pPr>
            <w:r>
              <w:rPr>
                <w:rFonts w:ascii="Courier New" w:hAnsi="Courier New"/>
                <w:b/>
                <w:i w:val="false"/>
                <w:color w:val="000000"/>
                <w:sz w:val="22"/>
              </w:rPr>
              <w:t>Statements</w:t>
            </w:r>
          </w:p>
        </w:tc>
        <w:tc>
          <w:tcPr>
            <w:tcW w:w="7797" w:type="dxa"/>
            <w:tcBorders/>
            <w:tcMar>
              <w:top w:w="15" w:type="dxa"/>
              <w:left w:w="15" w:type="dxa"/>
              <w:bottom w:w="15" w:type="dxa"/>
              <w:right w:w="15" w:type="dxa"/>
            </w:tcMar>
            <w:vAlign w:val="top"/>
          </w:tcPr>
          <w:p>
            <w:pPr>
              <w:spacing w:after="0"/>
              <w:ind w:left="0"/>
              <w:jc w:val="center"/>
            </w:pPr>
            <w:r>
              <w:rPr>
                <w:rFonts w:ascii="Courier New" w:hAnsi="Courier New"/>
                <w:b/>
                <w:i w:val="false"/>
                <w:color w:val="000000"/>
                <w:sz w:val="22"/>
              </w:rPr>
              <w:t>Organizations</w:t>
            </w:r>
          </w:p>
        </w:tc>
      </w:tr>
      <w:tr>
        <w:trPr/>
        <w:tc>
          <w:tcPr>
            <w:tcW w:w="7903" w:type="dxa"/>
            <w:tcBorders/>
            <w:tcMar>
              <w:top w:w="15" w:type="dxa"/>
              <w:left w:w="150" w:type="dxa"/>
              <w:bottom w:w="15" w:type="dxa"/>
              <w:right w:w="15" w:type="dxa"/>
            </w:tcMar>
            <w:vAlign w:val="top"/>
          </w:tcPr>
          <w:p>
            <w:pPr>
              <w:spacing w:after="0"/>
              <w:ind w:left="0"/>
              <w:jc w:val="left"/>
            </w:pPr>
            <w:r>
              <w:rPr>
                <w:rFonts w:ascii="Courier New" w:hAnsi="Courier New"/>
                <w:b/>
                <w:i w:val="false"/>
                <w:color w:val="000000"/>
                <w:sz w:val="22"/>
              </w:rPr>
              <w:t>A. Develops accounting standards for public and nonpublic companies.</w:t>
            </w:r>
          </w:p>
        </w:tc>
        <w:tc>
          <w:tcPr>
            <w:tcW w:w="7797" w:type="dxa"/>
            <w:tcBorders/>
            <w:tcMar>
              <w:top w:w="15" w:type="dxa"/>
              <w:left w:w="225" w:type="dxa"/>
              <w:bottom w:w="15" w:type="dxa"/>
              <w:right w:w="15" w:type="dxa"/>
            </w:tcMar>
            <w:vAlign w:val="top"/>
          </w:tcPr>
          <w:p>
            <w:pPr>
              <w:spacing w:after="0"/>
              <w:ind w:left="0"/>
              <w:jc w:val="left"/>
            </w:pPr>
            <w:r>
              <w:rPr>
                <w:rFonts w:ascii="Courier New" w:hAnsi="Courier New"/>
                <w:b w:val="false"/>
                <w:i w:val="false"/>
                <w:color w:val="000000"/>
                <w:sz w:val="22"/>
              </w:rPr>
              <w:t>Financial Accounting Standards Board.</w:t>
            </w:r>
          </w:p>
        </w:tc>
      </w:tr>
      <w:tr>
        <w:trPr/>
        <w:tc>
          <w:tcPr>
            <w:tcW w:w="7903" w:type="dxa"/>
            <w:tcBorders/>
            <w:tcMar>
              <w:top w:w="15" w:type="dxa"/>
              <w:left w:w="150" w:type="dxa"/>
              <w:bottom w:w="15" w:type="dxa"/>
              <w:right w:w="15" w:type="dxa"/>
            </w:tcMar>
            <w:vAlign w:val="top"/>
          </w:tcPr>
          <w:p>
            <w:pPr>
              <w:spacing w:after="0"/>
              <w:ind w:left="0"/>
              <w:jc w:val="left"/>
            </w:pPr>
            <w:r>
              <w:rPr>
                <w:rFonts w:ascii="Courier New" w:hAnsi="Courier New"/>
                <w:b/>
                <w:i w:val="false"/>
                <w:color w:val="000000"/>
                <w:sz w:val="22"/>
              </w:rPr>
              <w:t>B. Develops accounting standards for the U.S. Government.</w:t>
            </w:r>
          </w:p>
        </w:tc>
        <w:tc>
          <w:tcPr>
            <w:tcW w:w="7797" w:type="dxa"/>
            <w:tcBorders/>
            <w:tcMar>
              <w:top w:w="15" w:type="dxa"/>
              <w:left w:w="225" w:type="dxa"/>
              <w:bottom w:w="15" w:type="dxa"/>
              <w:right w:w="15" w:type="dxa"/>
            </w:tcMar>
            <w:vAlign w:val="top"/>
          </w:tcPr>
          <w:p>
            <w:pPr>
              <w:spacing w:after="0"/>
              <w:ind w:left="0"/>
              <w:jc w:val="left"/>
            </w:pPr>
            <w:r>
              <w:rPr>
                <w:rFonts w:ascii="Courier New" w:hAnsi="Courier New"/>
                <w:b w:val="false"/>
                <w:i w:val="false"/>
                <w:color w:val="000000"/>
                <w:sz w:val="22"/>
              </w:rPr>
              <w:t>Federal Accounting Standards Advisory Board.</w:t>
            </w:r>
          </w:p>
        </w:tc>
      </w:tr>
      <w:tr>
        <w:trPr/>
        <w:tc>
          <w:tcPr>
            <w:tcW w:w="7903" w:type="dxa"/>
            <w:tcBorders/>
            <w:tcMar>
              <w:top w:w="15" w:type="dxa"/>
              <w:left w:w="150" w:type="dxa"/>
              <w:bottom w:w="15" w:type="dxa"/>
              <w:right w:w="15" w:type="dxa"/>
            </w:tcMar>
            <w:vAlign w:val="top"/>
          </w:tcPr>
          <w:p>
            <w:pPr>
              <w:spacing w:after="0"/>
              <w:ind w:left="0"/>
              <w:jc w:val="left"/>
            </w:pPr>
            <w:r>
              <w:rPr>
                <w:rFonts w:ascii="Courier New" w:hAnsi="Courier New"/>
                <w:b/>
                <w:i w:val="false"/>
                <w:color w:val="000000"/>
                <w:sz w:val="22"/>
              </w:rPr>
              <w:t>C. Improves standards of financial accounting for state and local government entities.</w:t>
            </w:r>
          </w:p>
        </w:tc>
        <w:tc>
          <w:tcPr>
            <w:tcW w:w="7797" w:type="dxa"/>
            <w:tcBorders/>
            <w:tcMar>
              <w:top w:w="15" w:type="dxa"/>
              <w:left w:w="225" w:type="dxa"/>
              <w:bottom w:w="15" w:type="dxa"/>
              <w:right w:w="15" w:type="dxa"/>
            </w:tcMar>
            <w:vAlign w:val="top"/>
          </w:tcPr>
          <w:p>
            <w:pPr>
              <w:spacing w:after="0"/>
              <w:ind w:left="0"/>
              <w:jc w:val="left"/>
            </w:pPr>
            <w:r>
              <w:rPr>
                <w:rFonts w:ascii="Courier New" w:hAnsi="Courier New"/>
                <w:b w:val="false"/>
                <w:i w:val="false"/>
                <w:color w:val="000000"/>
                <w:sz w:val="22"/>
              </w:rPr>
              <w:t>Government Accounting Standards Board.</w:t>
            </w:r>
          </w:p>
        </w:tc>
      </w:tr>
      <w:tr>
        <w:trPr/>
        <w:tc>
          <w:tcPr>
            <w:tcW w:w="7903" w:type="dxa"/>
            <w:tcBorders/>
            <w:tcMar>
              <w:top w:w="15" w:type="dxa"/>
              <w:left w:w="150" w:type="dxa"/>
              <w:bottom w:w="15" w:type="dxa"/>
              <w:right w:w="15" w:type="dxa"/>
            </w:tcMar>
            <w:vAlign w:val="top"/>
          </w:tcPr>
          <w:p>
            <w:pPr>
              <w:spacing w:after="0"/>
              <w:ind w:left="0"/>
              <w:jc w:val="left"/>
            </w:pPr>
            <w:r>
              <w:rPr>
                <w:rFonts w:ascii="Courier New" w:hAnsi="Courier New"/>
                <w:b/>
                <w:i w:val="false"/>
                <w:color w:val="000000"/>
                <w:sz w:val="22"/>
              </w:rPr>
              <w:t>D. Issues auditing standards for public companies.</w:t>
            </w:r>
          </w:p>
        </w:tc>
        <w:tc>
          <w:tcPr>
            <w:tcW w:w="7797" w:type="dxa"/>
            <w:tcBorders/>
            <w:tcMar>
              <w:top w:w="15" w:type="dxa"/>
              <w:left w:w="225" w:type="dxa"/>
              <w:bottom w:w="15" w:type="dxa"/>
              <w:right w:w="15" w:type="dxa"/>
            </w:tcMar>
            <w:vAlign w:val="top"/>
          </w:tcPr>
          <w:p>
            <w:pPr>
              <w:spacing w:after="0"/>
              <w:ind w:left="0"/>
              <w:jc w:val="left"/>
            </w:pPr>
            <w:r>
              <w:rPr>
                <w:rFonts w:ascii="Courier New" w:hAnsi="Courier New"/>
                <w:b w:val="false"/>
                <w:i w:val="false"/>
                <w:color w:val="000000"/>
                <w:sz w:val="22"/>
              </w:rPr>
              <w:t>Public Company Accounting Oversight Board.</w:t>
            </w:r>
          </w:p>
        </w:tc>
      </w:tr>
      <w:tr>
        <w:trPr/>
        <w:tc>
          <w:tcPr>
            <w:tcW w:w="7903" w:type="dxa"/>
            <w:tcBorders/>
            <w:tcMar>
              <w:top w:w="15" w:type="dxa"/>
              <w:left w:w="150" w:type="dxa"/>
              <w:bottom w:w="15" w:type="dxa"/>
              <w:right w:w="15" w:type="dxa"/>
            </w:tcMar>
            <w:vAlign w:val="top"/>
          </w:tcPr>
          <w:p>
            <w:pPr>
              <w:spacing w:after="0"/>
              <w:ind w:left="0"/>
              <w:jc w:val="left"/>
            </w:pPr>
            <w:r>
              <w:rPr>
                <w:rFonts w:ascii="Courier New" w:hAnsi="Courier New"/>
                <w:b/>
                <w:i w:val="false"/>
                <w:color w:val="000000"/>
                <w:sz w:val="22"/>
              </w:rPr>
              <w:t>E. Issues CPA certificates.</w:t>
            </w:r>
          </w:p>
        </w:tc>
        <w:tc>
          <w:tcPr>
            <w:tcW w:w="7797" w:type="dxa"/>
            <w:tcBorders/>
            <w:tcMar>
              <w:top w:w="15" w:type="dxa"/>
              <w:left w:w="225" w:type="dxa"/>
              <w:bottom w:w="15" w:type="dxa"/>
              <w:right w:w="15" w:type="dxa"/>
            </w:tcMar>
            <w:vAlign w:val="top"/>
          </w:tcPr>
          <w:p>
            <w:pPr>
              <w:spacing w:after="0"/>
              <w:ind w:left="0"/>
              <w:jc w:val="left"/>
            </w:pPr>
            <w:r>
              <w:rPr>
                <w:rFonts w:ascii="Courier New" w:hAnsi="Courier New"/>
                <w:b w:val="false"/>
                <w:i w:val="false"/>
                <w:color w:val="000000"/>
                <w:sz w:val="22"/>
              </w:rPr>
              <w:t>State Boards of Accountancy.</w:t>
            </w:r>
          </w:p>
        </w:tc>
      </w:tr>
      <w:tr>
        <w:trPr/>
        <w:tc>
          <w:tcPr>
            <w:tcW w:w="7903" w:type="dxa"/>
            <w:tcBorders/>
            <w:tcMar>
              <w:top w:w="15" w:type="dxa"/>
              <w:left w:w="150" w:type="dxa"/>
              <w:bottom w:w="15" w:type="dxa"/>
              <w:right w:w="15" w:type="dxa"/>
            </w:tcMar>
            <w:vAlign w:val="top"/>
          </w:tcPr>
          <w:p>
            <w:pPr>
              <w:spacing w:after="0"/>
              <w:ind w:left="0"/>
              <w:jc w:val="left"/>
            </w:pPr>
            <w:r>
              <w:rPr>
                <w:rFonts w:ascii="Courier New" w:hAnsi="Courier New"/>
                <w:b/>
                <w:i w:val="false"/>
                <w:color w:val="000000"/>
                <w:sz w:val="22"/>
              </w:rPr>
              <w:t>F. Prepares the CPA exam.</w:t>
            </w:r>
          </w:p>
        </w:tc>
        <w:tc>
          <w:tcPr>
            <w:tcW w:w="7797" w:type="dxa"/>
            <w:tcBorders/>
            <w:tcMar>
              <w:top w:w="15" w:type="dxa"/>
              <w:left w:w="225" w:type="dxa"/>
              <w:bottom w:w="15" w:type="dxa"/>
              <w:right w:w="15" w:type="dxa"/>
            </w:tcMar>
            <w:vAlign w:val="top"/>
          </w:tcPr>
          <w:p>
            <w:pPr>
              <w:spacing w:after="0"/>
              <w:ind w:left="0"/>
              <w:jc w:val="left"/>
            </w:pPr>
            <w:r>
              <w:rPr>
                <w:rFonts w:ascii="Courier New" w:hAnsi="Courier New"/>
                <w:b w:val="false"/>
                <w:i w:val="false"/>
                <w:color w:val="000000"/>
                <w:sz w:val="22"/>
              </w:rPr>
              <w:t>American Institute of Certified Public Accountants.</w:t>
            </w:r>
          </w:p>
        </w:tc>
      </w:tr>
    </w:tbl>
    <w:sectPr>
      <w:footerReference w:type="default" r:id="rId3"/>
      <w:type w:val="continuous"/>
      <w:pgMar w:top="1440" w:right="1440" w:bottom="1440" w:left="1440"/>
      <w:cols w:space="720"/>
    </w:sectPr>
  </w:body>
</w:document>
</file>

<file path=word/footer.xml><?xml version="1.0" encoding="utf-8"?>
<w:ftr xmlns:w="http://schemas.openxmlformats.org/wordprocessingml/2006/main" xmlns:r="http://schemas.openxmlformats.org/officeDocument/2006/relationships" xmlns:m="http://schemas.openxmlformats.org/officeDocument/2006/math" xmlns:sl="http://schemas.openxmlformats.org/schemaLibrary/2006/main" xmlns:w15="http://schemas.microsoft.com/office/word/2012/wordml" xmlns:w14="http://schemas.microsoft.com/office/word/2010/wordml" xmlns:mc="http://schemas.openxmlformats.org/markup-compatibility/2006" xmlns:a="http://schemas.openxmlformats.org/drawingml/2006/main" xmlns:a14="http://schemas.microsoft.com/office/drawing/2010/main" xmlns:wp="http://schemas.openxmlformats.org/drawingml/2006/wordprocessingDrawing" xmlns:wp14="http://schemas.microsoft.com/office/word/2010/wordprocessingDrawing"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w:p>
    <w:pPr>
      <w:spacing w:before="0" w:after="0"/>
      <w:jc w:val="left"/>
    </w:pPr>
    <w:rPr>
      <w:noProof/>
    </w:rPr>
    <w:r>
      <w:rPr>
        <w:rFonts w:ascii="Calibri"/>
        <w:sz w:val="24"/>
      </w:rPr>
      <w:t>Version 1</w:t>
      <w:tab/>
      <w:tab/>
      <w:tab/>
      <w:tab/>
      <w:tab/>
      <w:tab/>
      <w:tab/>
      <w:tab/>
      <w:tab/>
      <w:tab/>
      <w:tab/>
    </w:r>
    <w:r>
      <w:rPr>
        <w:rFonts w:ascii="Times New Roman"/>
        <w:sz w:val="24"/>
      </w:rPr>
    </w:r>
    <w:fldSimple w:instr=" PAGE \* MERGEFORMAT ">
      <w:r>
        <w:rPr>
          <w:rFonts w:ascii="Times New Roman"/>
          <w:sz w:val="24"/>
        </w:rPr>
      </w:r>
    </w:fldSimple>
  </w:p>
</w:ftr>
</file>

<file path=word/numbering.xml><?xml version="1.0" encoding="utf-8"?>
<w:numbering xmlns:w="http://schemas.openxmlformats.org/wordprocessingml/2006/main" xmlns:r="http://schemas.openxmlformats.org/officeDocument/2006/relationships" xmlns:m="http://schemas.openxmlformats.org/officeDocument/2006/math" xmlns:sl="http://schemas.openxmlformats.org/schemaLibrary/2006/main" xmlns:w15="http://schemas.microsoft.com/office/word/2012/wordml" xmlns:w14="http://schemas.microsoft.com/office/word/2010/wordml" xmlns:mc="http://schemas.openxmlformats.org/markup-compatibility/2006" xmlns:a="http://schemas.openxmlformats.org/drawingml/2006/main" xmlns:a14="http://schemas.microsoft.com/office/drawing/2010/main" xmlns:wp="http://schemas.openxmlformats.org/drawingml/2006/wordprocessingDrawing" xmlns:wp14="http://schemas.microsoft.com/office/word/2010/wordprocessingDrawing"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file>

<file path=word/settings.xml><?xml version="1.0" encoding="utf-8"?>
<w:settings xmlns:w="http://schemas.openxmlformats.org/wordprocessingml/2006/main" xmlns:r="http://schemas.openxmlformats.org/officeDocument/2006/relationships" xmlns:m="http://schemas.openxmlformats.org/officeDocument/2006/math" xmlns:sl="http://schemas.openxmlformats.org/schemaLibrary/2006/main" xmlns:w15="http://schemas.microsoft.com/office/word/2012/wordml" xmlns:w14="http://schemas.microsoft.com/office/word/2010/wordml" xmlns:mc="http://schemas.openxmlformats.org/markup-compatibility/2006" xmlns:a="http://schemas.openxmlformats.org/drawingml/2006/main" xmlns:a14="http://schemas.microsoft.com/office/drawing/2010/main" xmlns:wp="http://schemas.openxmlformats.org/drawingml/2006/wordprocessingDrawing" xmlns:wp14="http://schemas.microsoft.com/office/word/2010/wordprocessingDrawing"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mc:Ignorable="">
  <w:compat>
    <w:compatSetting w:name="overrideTableStyleFontSizeAndJustification" w:uri="http://schemas.microsoft.com/office/word" w:val="1"/>
  </w:compat>
</w:settings>
</file>

<file path=word/styles.xml><?xml version="1.0" encoding="utf-8"?>
<w:styles xmlns:w="http://schemas.openxmlformats.org/wordprocessingml/2006/main" xmlns:r="http://schemas.openxmlformats.org/officeDocument/2006/relationships" xmlns:m="http://schemas.openxmlformats.org/officeDocument/2006/math" xmlns:sl="http://schemas.openxmlformats.org/schemaLibrary/2006/main" xmlns:w15="http://schemas.microsoft.com/office/word/2012/wordml" xmlns:w14="http://schemas.microsoft.com/office/word/2010/wordml" xmlns:mc="http://schemas.openxmlformats.org/markup-compatibility/2006" xmlns:a="http://schemas.openxmlformats.org/drawingml/2006/main" xmlns:a14="http://schemas.microsoft.com/office/drawing/2010/main" xmlns:wp="http://schemas.openxmlformats.org/drawingml/2006/wordprocessingDrawing" xmlns:wp14="http://schemas.microsoft.com/office/word/2010/wordprocessingDrawing"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qFormat/>
    <w:rsid w:val="004A3277"/>
  </w:style>
  <w:style w:type="paragraph" w:styleId="Heading1">
    <w:name w:val="heading 1"/>
    <w:basedOn w:val="Normal"/>
    <w:next w:val="Normal"/>
    <w:link w:val="Heading1Char"/>
    <w:uiPriority w:val="9"/>
    <w:qFormat/>
    <w:rsid w:val="00841CD9"/>
    <w:pPr>
      <w:keepNext/>
      <w:keepLines/>
      <w:spacing w:before="480"/>
      <w:outlineLvl w:val="0"/>
    </w:pPr>
    <w:rPr>
      <w:rFonts w:asciiTheme="majorHAnsi" w:hAnsiTheme="majorHAnsi" w:eastAsiaTheme="majorEastAsia"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heme="majorHAnsi" w:hAnsiTheme="majorHAnsi" w:eastAsiaTheme="majorEastAsia" w:cstheme="majorBidi"/>
      <w:b/>
      <w:bCs/>
      <w:color w:val="4F81BD" w:themeColor="accent1"/>
      <w:sz w:val="26"/>
      <w:szCs w:val="26"/>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heme="majorHAnsi" w:hAnsiTheme="majorHAnsi" w:eastAsiaTheme="majorEastAsia" w:cstheme="majorBidi"/>
      <w:b/>
      <w:bCs/>
      <w:color w:val="4F81BD" w:themeColor="accent1"/>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heme="majorHAnsi" w:hAnsiTheme="majorHAnsi" w:eastAsiaTheme="majorEastAsia" w:cstheme="majorBidi"/>
      <w:b/>
      <w:bCs/>
      <w:i/>
      <w:iCs/>
      <w:color w:val="4F81BD" w:themeColor="accent1"/>
    </w:rPr>
  </w:style>
  <w:style w:type="character" w:styleId="DefaultParagraphFont" w:default="true">
    <w:name w:val="Default Paragraph Font"/>
    <w:uiPriority w:val="1"/>
    <w:semiHidden/>
    <w:unhideWhenUsed/>
  </w:style>
  <w:style w:type="paragraph" w:styleId="Header">
    <w:name w:val="header"/>
    <w:basedOn w:val="Normal"/>
    <w:link w:val="HeaderChar"/>
    <w:uiPriority w:val="99"/>
    <w:unhideWhenUsed/>
    <w:rsid w:val="00841CD9"/>
    <w:pPr>
      <w:tabs>
        <w:tab w:val="center" w:pos="4680"/>
        <w:tab w:val="right" w:pos="9360"/>
      </w:tabs>
    </w:pPr>
  </w:style>
  <w:style w:type="character" w:styleId="HeaderChar" w:customStyle="true">
    <w:name w:val="Header Char"/>
    <w:basedOn w:val="DefaultParagraphFont"/>
    <w:link w:val="Header"/>
    <w:uiPriority w:val="99"/>
    <w:rsid w:val="00841CD9"/>
  </w:style>
  <w:style w:type="character" w:styleId="Heading1Char" w:customStyle="true">
    <w:name w:val="Heading 1 Char"/>
    <w:basedOn w:val="DefaultParagraphFont"/>
    <w:link w:val="Heading1"/>
    <w:uiPriority w:val="9"/>
    <w:rsid w:val="00841CD9"/>
    <w:rPr>
      <w:rFonts w:asciiTheme="majorHAnsi" w:hAnsiTheme="majorHAnsi" w:eastAsiaTheme="majorEastAsia" w:cstheme="majorBidi"/>
      <w:b/>
      <w:bCs/>
      <w:color w:val="365F91" w:themeColor="accent1" w:themeShade="BF"/>
      <w:sz w:val="28"/>
      <w:szCs w:val="28"/>
    </w:rPr>
  </w:style>
  <w:style w:type="character" w:styleId="Heading2Char" w:customStyle="true">
    <w:name w:val="Heading 2 Char"/>
    <w:basedOn w:val="DefaultParagraphFont"/>
    <w:link w:val="Heading2"/>
    <w:uiPriority w:val="9"/>
    <w:rsid w:val="00841CD9"/>
    <w:rPr>
      <w:rFonts w:asciiTheme="majorHAnsi" w:hAnsiTheme="majorHAnsi" w:eastAsiaTheme="majorEastAsia" w:cstheme="majorBidi"/>
      <w:b/>
      <w:bCs/>
      <w:color w:val="4F81BD" w:themeColor="accent1"/>
      <w:sz w:val="26"/>
      <w:szCs w:val="26"/>
    </w:rPr>
  </w:style>
  <w:style w:type="character" w:styleId="Heading3Char" w:customStyle="true">
    <w:name w:val="Heading 3 Char"/>
    <w:basedOn w:val="DefaultParagraphFont"/>
    <w:link w:val="Heading3"/>
    <w:uiPriority w:val="9"/>
    <w:rsid w:val="00841CD9"/>
    <w:rPr>
      <w:rFonts w:asciiTheme="majorHAnsi" w:hAnsiTheme="majorHAnsi" w:eastAsiaTheme="majorEastAsia" w:cstheme="majorBidi"/>
      <w:b/>
      <w:bCs/>
      <w:color w:val="4F81BD" w:themeColor="accent1"/>
    </w:rPr>
  </w:style>
  <w:style w:type="character" w:styleId="Heading4Char" w:customStyle="true">
    <w:name w:val="Heading 4 Char"/>
    <w:basedOn w:val="DefaultParagraphFont"/>
    <w:link w:val="Heading4"/>
    <w:uiPriority w:val="9"/>
    <w:rsid w:val="00841CD9"/>
    <w:rPr>
      <w:rFonts w:asciiTheme="majorHAnsi" w:hAnsiTheme="majorHAnsi" w:eastAsiaTheme="majorEastAsia" w:cstheme="majorBidi"/>
      <w:b/>
      <w:bCs/>
      <w:i/>
      <w:iCs/>
      <w:color w:val="4F81BD" w:themeColor="accent1"/>
    </w:rPr>
  </w:style>
  <w:style w:type="paragraph" w:styleId="NormalIndent">
    <w:name w:val="Normal Indent"/>
    <w:basedOn w:val="Normal"/>
    <w:uiPriority w:val="99"/>
    <w:unhideWhenUsed/>
    <w:rsid w:val="00841CD9"/>
    <w:pPr>
      <w:ind w:left="720"/>
    </w:pPr>
  </w:style>
  <w:style w:type="paragraph" w:styleId="Subtitle">
    <w:name w:val="Subtitle"/>
    <w:basedOn w:val="Normal"/>
    <w:next w:val="Normal"/>
    <w:link w:val="SubtitleChar"/>
    <w:uiPriority w:val="11"/>
    <w:qFormat/>
    <w:rsid w:val="00841CD9"/>
    <w:pPr>
      <w:numPr>
        <w:ilvl w:val="1"/>
      </w:numPr>
      <w:ind w:left="86"/>
    </w:pPr>
    <w:rPr>
      <w:rFonts w:asciiTheme="majorHAnsi" w:hAnsiTheme="majorHAnsi" w:eastAsiaTheme="majorEastAsia" w:cstheme="majorBidi"/>
      <w:i/>
      <w:iCs/>
      <w:color w:val="4F81BD" w:themeColor="accent1"/>
      <w:spacing w:val="15"/>
      <w:sz w:val="24"/>
      <w:szCs w:val="24"/>
    </w:rPr>
  </w:style>
  <w:style w:type="character" w:styleId="SubtitleChar" w:customStyle="true">
    <w:name w:val="Subtitle Char"/>
    <w:basedOn w:val="DefaultParagraphFont"/>
    <w:link w:val="Subtitle"/>
    <w:uiPriority w:val="11"/>
    <w:rsid w:val="00841CD9"/>
    <w:rPr>
      <w:rFonts w:asciiTheme="majorHAnsi" w:hAnsiTheme="majorHAnsi" w:eastAsiaTheme="majorEastAsia" w:cstheme="majorBidi"/>
      <w:i/>
      <w:iCs/>
      <w:color w:val="4F81BD" w:themeColor="accent1"/>
      <w:spacing w:val="15"/>
      <w:sz w:val="24"/>
      <w:szCs w:val="24"/>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heme="majorHAnsi" w:hAnsiTheme="majorHAnsi" w:eastAsiaTheme="majorEastAsia" w:cstheme="majorBidi"/>
      <w:color w:val="17365D" w:themeColor="text2" w:themeShade="BF"/>
      <w:spacing w:val="5"/>
      <w:kern w:val="28"/>
      <w:sz w:val="52"/>
      <w:szCs w:val="52"/>
    </w:rPr>
  </w:style>
  <w:style w:type="character" w:styleId="TitleChar" w:customStyle="true">
    <w:name w:val="Title Char"/>
    <w:basedOn w:val="DefaultParagraphFont"/>
    <w:link w:val="Title"/>
    <w:uiPriority w:val="10"/>
    <w:rsid w:val="00841CD9"/>
    <w:rPr>
      <w:rFonts w:asciiTheme="majorHAnsi" w:hAnsiTheme="majorHAnsi" w:eastAsiaTheme="majorEastAsia" w:cstheme="majorBidi"/>
      <w:color w:val="17365D" w:themeColor="text2" w:themeShade="BF"/>
      <w:spacing w:val="5"/>
      <w:kern w:val="28"/>
      <w:sz w:val="52"/>
      <w:szCs w:val="52"/>
    </w:rPr>
  </w:style>
  <w:style w:type="character" w:styleId="Emphasis">
    <w:name w:val="Emphasis"/>
    <w:basedOn w:val="DefaultParagraphFont"/>
    <w:uiPriority w:val="20"/>
    <w:qFormat/>
    <w:rsid w:val="00D1197D"/>
    <w:rPr>
      <w:i/>
      <w:iCs/>
    </w:rPr>
  </w:style>
  <w:style w:type="character" w:styleId="Hyperlink">
    <w:name w:val="Hyperlink"/>
    <w:basedOn w:val="DefaultParagraphFont"/>
    <w:uiPriority w:val="99"/>
    <w:unhideWhenUsed/>
    <w:rPr>
      <w:color w:val="0000FF" w:themeColor="hyperlink"/>
      <w:u w:val="single"/>
    </w:rPr>
  </w:style>
  <w:style w:type="table" w:styleId="TableGrid">
    <w:name w:val="Table Grid"/>
    <w:basedOn w:val="TableNormal"/>
    <w:uiPriority w:val="59"/>
    <w:pPr>
      <w:spacing w:after="0" w:line="240" w:lineRule="auto"/>
    </w:p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b/>
      <w:bCs/>
      <w:color w:val="4F81BD" w:themeColor="accent1"/>
      <w:sz w:val="18"/>
      <w:szCs w:val="18"/>
    </w:rPr>
  </w:style>
</w:styles>
</file>

<file path=word/_rels/document.xml.rels><?xml version="1.0" encoding="UTF-8" standalone="yes"?>
<Relationships xmlns="http://schemas.openxmlformats.org/package/2006/relationships">
    <Relationship Target="styles.xml" Type="http://schemas.openxmlformats.org/officeDocument/2006/relationships/styles" Id="rId1"/>
    <Relationship Target="settings.xml" Type="http://schemas.openxmlformats.org/officeDocument/2006/relationships/settings" Id="rId2"/>
    <Relationship Target="footer.xml" Type="http://schemas.openxmlformats.org/officeDocument/2006/relationships/footer" Id="rId3"/>
    <Relationship Target="numbering.xml" Type="http://schemas.openxmlformats.org/officeDocument/2006/relationships/numbering" Id="rId4"/>
</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

<file path=docProps/custom.xml><?xml version="1.0" encoding="utf-8"?>
<prop:Properties xmlns:vt="http://schemas.openxmlformats.org/officeDocument/2006/docPropsVTypes" xmlns:prop="http://schemas.openxmlformats.org/officeDocument/2006/custom-properties">
  <prop:property fmtid="{D5CDD505-2E9C-101B-9397-08002B2CF9AE}" pid="2" name="Copyright">
    <vt:lpwstr>Some content may be Copyright, McGraw Hill LLC</vt:lpwstr>
  </prop:property>
</prop:Properties>
</file>